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FBB3" w14:textId="77777777" w:rsidR="00110806" w:rsidRPr="00695B84" w:rsidRDefault="00C31150" w:rsidP="00C31150">
      <w:pPr>
        <w:spacing w:after="0" w:line="240" w:lineRule="auto"/>
        <w:jc w:val="center"/>
        <w:rPr>
          <w:b/>
        </w:rPr>
      </w:pPr>
      <w:r w:rsidRPr="00695B84">
        <w:rPr>
          <w:b/>
        </w:rPr>
        <w:t>DANH MỤC</w:t>
      </w:r>
    </w:p>
    <w:p w14:paraId="6E0BBA99" w14:textId="2A6D2239" w:rsidR="00731B01" w:rsidRDefault="00253990" w:rsidP="00C31150">
      <w:pPr>
        <w:spacing w:after="0" w:line="240" w:lineRule="auto"/>
        <w:jc w:val="center"/>
        <w:rPr>
          <w:b/>
        </w:rPr>
      </w:pPr>
      <w:r>
        <w:rPr>
          <w:b/>
        </w:rPr>
        <w:t>MỘT SỐ</w:t>
      </w:r>
      <w:r w:rsidR="00C31150" w:rsidRPr="00695B84">
        <w:rPr>
          <w:b/>
        </w:rPr>
        <w:t xml:space="preserve"> NGHỊ QUYẾ</w:t>
      </w:r>
      <w:r w:rsidR="002F79F3">
        <w:rPr>
          <w:b/>
        </w:rPr>
        <w:t>T DO</w:t>
      </w:r>
      <w:r w:rsidR="00C31150" w:rsidRPr="00695B84">
        <w:rPr>
          <w:b/>
        </w:rPr>
        <w:t xml:space="preserve"> HỘI ĐỒNG NHÂN DÂN TỈNH </w:t>
      </w:r>
      <w:r w:rsidR="002F79F3">
        <w:rPr>
          <w:b/>
        </w:rPr>
        <w:t xml:space="preserve">BAN HÀNH </w:t>
      </w:r>
      <w:r w:rsidR="00695B84" w:rsidRPr="00695B84">
        <w:rPr>
          <w:b/>
        </w:rPr>
        <w:t>BÃI BỎ TOÀN BỘ</w:t>
      </w:r>
    </w:p>
    <w:p w14:paraId="53025EBD" w14:textId="046BC8E9" w:rsidR="00695B84" w:rsidRDefault="00695B84" w:rsidP="00C31150">
      <w:pPr>
        <w:spacing w:after="0" w:line="240" w:lineRule="auto"/>
        <w:jc w:val="center"/>
        <w:rPr>
          <w:i/>
        </w:rPr>
      </w:pPr>
      <w:r w:rsidRPr="00695B84">
        <w:rPr>
          <w:i/>
        </w:rPr>
        <w:t>(Kèm theo Tờ trình số……../TTr-UBND ngày…</w:t>
      </w:r>
      <w:r w:rsidR="00E068A2">
        <w:rPr>
          <w:i/>
        </w:rPr>
        <w:t>…</w:t>
      </w:r>
      <w:r w:rsidRPr="00695B84">
        <w:rPr>
          <w:i/>
        </w:rPr>
        <w:t>.tháng</w:t>
      </w:r>
      <w:r w:rsidR="00E0695D">
        <w:rPr>
          <w:i/>
        </w:rPr>
        <w:t xml:space="preserve"> </w:t>
      </w:r>
      <w:r w:rsidR="00253990">
        <w:rPr>
          <w:i/>
        </w:rPr>
        <w:t>5</w:t>
      </w:r>
      <w:r w:rsidR="00E0695D">
        <w:rPr>
          <w:i/>
        </w:rPr>
        <w:t xml:space="preserve"> </w:t>
      </w:r>
      <w:r w:rsidRPr="00695B84">
        <w:rPr>
          <w:i/>
        </w:rPr>
        <w:t>năm 202</w:t>
      </w:r>
      <w:r w:rsidR="00253990">
        <w:rPr>
          <w:i/>
        </w:rPr>
        <w:t>6</w:t>
      </w:r>
      <w:r w:rsidRPr="00695B84">
        <w:rPr>
          <w:i/>
        </w:rPr>
        <w:t xml:space="preserve"> của Ủy ban nhân dân tỉnh Cao Bằng)</w:t>
      </w:r>
    </w:p>
    <w:p w14:paraId="1CF96CE0" w14:textId="77777777" w:rsidR="00695B84" w:rsidRDefault="00695B84" w:rsidP="00C31150">
      <w:pPr>
        <w:spacing w:after="0" w:line="240" w:lineRule="auto"/>
        <w:jc w:val="center"/>
      </w:pPr>
    </w:p>
    <w:tbl>
      <w:tblPr>
        <w:tblStyle w:val="TableGrid"/>
        <w:tblW w:w="15310" w:type="dxa"/>
        <w:tblInd w:w="-431" w:type="dxa"/>
        <w:tblLook w:val="04A0" w:firstRow="1" w:lastRow="0" w:firstColumn="1" w:lastColumn="0" w:noHBand="0" w:noVBand="1"/>
      </w:tblPr>
      <w:tblGrid>
        <w:gridCol w:w="792"/>
        <w:gridCol w:w="5021"/>
        <w:gridCol w:w="6378"/>
        <w:gridCol w:w="3119"/>
      </w:tblGrid>
      <w:tr w:rsidR="00A40705" w14:paraId="685F5492" w14:textId="77777777" w:rsidTr="00E23D2C">
        <w:trPr>
          <w:trHeight w:val="694"/>
        </w:trPr>
        <w:tc>
          <w:tcPr>
            <w:tcW w:w="792" w:type="dxa"/>
            <w:vAlign w:val="center"/>
          </w:tcPr>
          <w:p w14:paraId="27D29CA7" w14:textId="77777777" w:rsidR="00A40705" w:rsidRPr="00E0695D" w:rsidRDefault="00A40705" w:rsidP="00322DCB">
            <w:pPr>
              <w:jc w:val="center"/>
              <w:rPr>
                <w:b/>
                <w:sz w:val="24"/>
                <w:szCs w:val="24"/>
              </w:rPr>
            </w:pPr>
            <w:r w:rsidRPr="00E0695D">
              <w:rPr>
                <w:b/>
                <w:sz w:val="24"/>
                <w:szCs w:val="24"/>
              </w:rPr>
              <w:t>STT</w:t>
            </w:r>
          </w:p>
        </w:tc>
        <w:tc>
          <w:tcPr>
            <w:tcW w:w="5021" w:type="dxa"/>
            <w:vAlign w:val="center"/>
          </w:tcPr>
          <w:p w14:paraId="55D06CE3" w14:textId="12F5ADC9" w:rsidR="00A40705" w:rsidRPr="00E0695D" w:rsidRDefault="00A40705" w:rsidP="00322DCB">
            <w:pPr>
              <w:jc w:val="center"/>
              <w:rPr>
                <w:b/>
                <w:sz w:val="24"/>
                <w:szCs w:val="24"/>
              </w:rPr>
            </w:pPr>
            <w:r w:rsidRPr="00E0695D">
              <w:rPr>
                <w:b/>
                <w:sz w:val="24"/>
                <w:szCs w:val="24"/>
              </w:rPr>
              <w:t>TÊN NGHỊ QUYẾT</w:t>
            </w:r>
          </w:p>
        </w:tc>
        <w:tc>
          <w:tcPr>
            <w:tcW w:w="6378" w:type="dxa"/>
            <w:vAlign w:val="center"/>
          </w:tcPr>
          <w:p w14:paraId="37EE1F7A" w14:textId="77777777" w:rsidR="00A40705" w:rsidRPr="00E0695D" w:rsidRDefault="00A40705" w:rsidP="002F79F3">
            <w:pPr>
              <w:jc w:val="center"/>
              <w:rPr>
                <w:b/>
                <w:sz w:val="24"/>
                <w:szCs w:val="24"/>
              </w:rPr>
            </w:pPr>
            <w:r w:rsidRPr="00E0695D">
              <w:rPr>
                <w:b/>
                <w:sz w:val="24"/>
                <w:szCs w:val="24"/>
              </w:rPr>
              <w:t>SỰ CẦN THIẾT BÃI BỎ</w:t>
            </w:r>
          </w:p>
        </w:tc>
        <w:tc>
          <w:tcPr>
            <w:tcW w:w="3119" w:type="dxa"/>
            <w:vAlign w:val="center"/>
          </w:tcPr>
          <w:p w14:paraId="453A4B16" w14:textId="77777777" w:rsidR="00A40705" w:rsidRPr="00E0695D" w:rsidRDefault="00774F05" w:rsidP="00774F05">
            <w:pPr>
              <w:jc w:val="center"/>
              <w:rPr>
                <w:b/>
                <w:sz w:val="24"/>
                <w:szCs w:val="24"/>
              </w:rPr>
            </w:pPr>
            <w:r w:rsidRPr="00E0695D">
              <w:rPr>
                <w:b/>
                <w:sz w:val="24"/>
                <w:szCs w:val="24"/>
              </w:rPr>
              <w:t>CƠ QUAN ĐỀ XUẤT</w:t>
            </w:r>
          </w:p>
        </w:tc>
      </w:tr>
      <w:tr w:rsidR="00A40705" w:rsidRPr="00E0695D" w14:paraId="41179991" w14:textId="77777777" w:rsidTr="00E23D2C">
        <w:trPr>
          <w:trHeight w:val="1264"/>
        </w:trPr>
        <w:tc>
          <w:tcPr>
            <w:tcW w:w="792" w:type="dxa"/>
            <w:vAlign w:val="center"/>
          </w:tcPr>
          <w:p w14:paraId="2C3C4D1E" w14:textId="77777777" w:rsidR="00A40705" w:rsidRDefault="00A40705" w:rsidP="005376EC">
            <w:pPr>
              <w:jc w:val="center"/>
            </w:pPr>
            <w:r>
              <w:t>1</w:t>
            </w:r>
          </w:p>
        </w:tc>
        <w:tc>
          <w:tcPr>
            <w:tcW w:w="5021" w:type="dxa"/>
            <w:vAlign w:val="center"/>
          </w:tcPr>
          <w:p w14:paraId="206736D7" w14:textId="2861BC5E" w:rsidR="00A40705" w:rsidRPr="005376EC" w:rsidRDefault="00253990" w:rsidP="00A55CE5">
            <w:pPr>
              <w:spacing w:before="120" w:after="120" w:line="340" w:lineRule="exact"/>
              <w:jc w:val="both"/>
              <w:rPr>
                <w:rFonts w:cs="Times New Roman"/>
                <w:color w:val="000000"/>
                <w:szCs w:val="28"/>
                <w:lang w:val="pt-BR"/>
              </w:rPr>
            </w:pPr>
            <w:r w:rsidRPr="00D366FC">
              <w:rPr>
                <w:color w:val="000000" w:themeColor="text1"/>
                <w:kern w:val="2"/>
                <w14:ligatures w14:val="standardContextual"/>
              </w:rPr>
              <w:t xml:space="preserve">Nghị quyết số 18/2019/NQ-HĐND ngày 12 tháng 7 năm 2019 </w:t>
            </w:r>
            <w:r>
              <w:rPr>
                <w:color w:val="000000" w:themeColor="text1"/>
                <w:kern w:val="2"/>
                <w14:ligatures w14:val="standardContextual"/>
              </w:rPr>
              <w:t>của Hội đồng nhân dân tỉnh Cao Bằng</w:t>
            </w:r>
            <w:r w:rsidRPr="00D366FC">
              <w:rPr>
                <w:color w:val="000000" w:themeColor="text1"/>
                <w:shd w:val="clear" w:color="auto" w:fill="FFFFFF"/>
              </w:rPr>
              <w:t xml:space="preserve"> ban hành Quy định phân cấp thẩm quyền quyết định xác lập quyền sở hữu toàn dân về tài sản và phê duyệt phương án xử lý tài sản được xác lập quyền sở hữu toàn dân</w:t>
            </w:r>
          </w:p>
        </w:tc>
        <w:tc>
          <w:tcPr>
            <w:tcW w:w="6378" w:type="dxa"/>
          </w:tcPr>
          <w:p w14:paraId="728D01BA" w14:textId="703F45A7" w:rsidR="00A1694A" w:rsidRPr="00A1694A" w:rsidRDefault="00E55209" w:rsidP="00A1694A">
            <w:pPr>
              <w:spacing w:before="120" w:after="120"/>
              <w:jc w:val="both"/>
              <w:rPr>
                <w:rFonts w:cs="Times New Roman"/>
                <w:color w:val="000000" w:themeColor="text1"/>
              </w:rPr>
            </w:pPr>
            <w:r>
              <w:rPr>
                <w:rFonts w:cs="Times New Roman"/>
                <w:color w:val="000000" w:themeColor="text1"/>
                <w:kern w:val="2"/>
                <w14:ligatures w14:val="standardContextual"/>
              </w:rPr>
              <w:t xml:space="preserve">- </w:t>
            </w:r>
            <w:r w:rsidR="00A1694A" w:rsidRPr="00A1694A">
              <w:rPr>
                <w:rFonts w:cs="Times New Roman"/>
                <w:color w:val="000000" w:themeColor="text1"/>
              </w:rPr>
              <w:t>Khoản 7 Điều 3 Nghị định số 286/2025/NĐ-CP ngày 03 tháng 11 năm 2025 của Chính phủ s</w:t>
            </w:r>
            <w:r w:rsidR="00A1694A" w:rsidRPr="00A1694A">
              <w:rPr>
                <w:rFonts w:cs="Times New Roman"/>
                <w:bCs/>
                <w:color w:val="000000" w:themeColor="text1"/>
              </w:rPr>
              <w:t>ửa đổi, bổ sung một số điều của các Nghị định</w:t>
            </w:r>
            <w:r w:rsidR="00A1694A" w:rsidRPr="00A1694A">
              <w:rPr>
                <w:rFonts w:cs="Times New Roman"/>
                <w:color w:val="000000" w:themeColor="text1"/>
              </w:rPr>
              <w:t xml:space="preserve"> </w:t>
            </w:r>
            <w:r w:rsidR="00A1694A" w:rsidRPr="00A1694A">
              <w:rPr>
                <w:rFonts w:cs="Times New Roman"/>
                <w:bCs/>
                <w:color w:val="000000" w:themeColor="text1"/>
              </w:rPr>
              <w:t>trong lĩnh vực quản lý, sử dụng tài</w:t>
            </w:r>
            <w:r w:rsidR="00A1694A" w:rsidRPr="00A1694A">
              <w:rPr>
                <w:rFonts w:cs="Times New Roman"/>
                <w:color w:val="000000" w:themeColor="text1"/>
              </w:rPr>
              <w:t xml:space="preserve"> sản công quy định “</w:t>
            </w:r>
            <w:r w:rsidR="00A1694A" w:rsidRPr="00A1694A">
              <w:rPr>
                <w:rFonts w:cs="Times New Roman"/>
                <w:i/>
                <w:color w:val="000000" w:themeColor="text1"/>
              </w:rPr>
              <w:t xml:space="preserve">Trong thời hạn 12 tháng kể từ ngày Nghị định này có hiệu lực thi hành, Bộ trưởng, Thủ trưởng cơ quan trung ương, </w:t>
            </w:r>
            <w:r w:rsidR="00A1694A" w:rsidRPr="00A1694A">
              <w:rPr>
                <w:rFonts w:cs="Times New Roman"/>
                <w:b/>
                <w:i/>
                <w:color w:val="000000" w:themeColor="text1"/>
              </w:rPr>
              <w:t>Chủ tịch Ủy ban nhân dân cấp tỉnh có trách nhiệm ban hành văn bản phân cấp thẩm quyền quyết định xác lập, phê duyệt phương án xử lý tài sản được xác lập quyền sở hữu toàn dân theo quy định tại Nghị định này</w:t>
            </w:r>
            <w:r w:rsidR="00A1694A" w:rsidRPr="00A1694A">
              <w:rPr>
                <w:rFonts w:cs="Times New Roman"/>
                <w:i/>
                <w:color w:val="000000" w:themeColor="text1"/>
              </w:rPr>
              <w:t>; trong thời gian chưa ban hành thì tiếp tục thực hiện theo thẩm quyền đã được quy định hoặc phân cấp trước ngày Nghị định này có hiệu lực thi hành.</w:t>
            </w:r>
            <w:r w:rsidR="00A1694A" w:rsidRPr="00A1694A">
              <w:rPr>
                <w:rFonts w:cs="Times New Roman"/>
                <w:i/>
                <w:iCs/>
                <w:color w:val="000000" w:themeColor="text1"/>
              </w:rPr>
              <w:t>”.</w:t>
            </w:r>
          </w:p>
          <w:p w14:paraId="26884385" w14:textId="275EBDD2" w:rsidR="00A1694A" w:rsidRPr="00A1694A" w:rsidRDefault="00E55209" w:rsidP="00A1694A">
            <w:pPr>
              <w:spacing w:before="120" w:after="120"/>
              <w:ind w:left="57" w:right="57"/>
              <w:jc w:val="both"/>
              <w:rPr>
                <w:rFonts w:cs="Times New Roman"/>
                <w:iCs/>
                <w:color w:val="000000" w:themeColor="text1"/>
              </w:rPr>
            </w:pPr>
            <w:r>
              <w:rPr>
                <w:rFonts w:cs="Times New Roman"/>
                <w:iCs/>
                <w:color w:val="000000" w:themeColor="text1"/>
              </w:rPr>
              <w:t xml:space="preserve"> - </w:t>
            </w:r>
            <w:r w:rsidR="00A1694A" w:rsidRPr="00A1694A">
              <w:rPr>
                <w:rFonts w:cs="Times New Roman"/>
                <w:iCs/>
                <w:color w:val="000000" w:themeColor="text1"/>
              </w:rPr>
              <w:t>Khoản 5 Điều 18 Nghị định số 74/2026/NĐ-CP ngày 14 tháng 3 năm 2026 của Chính phủ quy định việc quản lý, sử dụng và khai thác kết cấu hạ tầng thủy lợi quy định: “</w:t>
            </w:r>
            <w:r w:rsidR="00A1694A" w:rsidRPr="00A1694A">
              <w:rPr>
                <w:rFonts w:cs="Times New Roman"/>
                <w:i/>
                <w:color w:val="000000" w:themeColor="text1"/>
                <w:shd w:val="clear" w:color="auto" w:fill="FFFFFF"/>
              </w:rPr>
              <w:t xml:space="preserve">5. </w:t>
            </w:r>
            <w:r w:rsidR="00A1694A" w:rsidRPr="00A1694A">
              <w:rPr>
                <w:rFonts w:cs="Times New Roman"/>
                <w:b/>
                <w:i/>
                <w:color w:val="000000" w:themeColor="text1"/>
                <w:shd w:val="clear" w:color="auto" w:fill="FFFFFF"/>
              </w:rPr>
              <w:t>Chủ tịch Ủy ban nhân dân cấp tỉnh phê duyệt hoặc phân cấp thẩm quyền phê duyệt Đề án cho thuê quyền khai thác tài sản kết cấu hạ tầng thủy lợi đối với tài sản thuộc phạm vi quản lý của địa phương</w:t>
            </w:r>
            <w:r w:rsidR="00A1694A" w:rsidRPr="00A1694A">
              <w:rPr>
                <w:rFonts w:cs="Times New Roman"/>
                <w:color w:val="000000" w:themeColor="text1"/>
                <w:shd w:val="clear" w:color="auto" w:fill="FFFFFF"/>
              </w:rPr>
              <w:t>.”.</w:t>
            </w:r>
          </w:p>
          <w:p w14:paraId="729B23EC" w14:textId="77777777" w:rsidR="00A1694A" w:rsidRDefault="00A1694A" w:rsidP="008954D7">
            <w:pPr>
              <w:spacing w:before="120" w:after="120"/>
              <w:ind w:right="57"/>
              <w:jc w:val="both"/>
              <w:rPr>
                <w:rFonts w:cs="Times New Roman"/>
                <w:color w:val="000000" w:themeColor="text1"/>
              </w:rPr>
            </w:pPr>
            <w:r w:rsidRPr="00A1694A">
              <w:rPr>
                <w:rFonts w:cs="Times New Roman"/>
                <w:color w:val="000000" w:themeColor="text1"/>
              </w:rPr>
              <w:lastRenderedPageBreak/>
              <w:t>Theo đó, việc quyết định xác lập, phê duyệt phương án xử lý tài sản được xác lập quyền sở hữu toàn dân; phê duyệt Đề án cho thuê quyền khai thác tài sản kết cấu hạ tầng thủy lợi thuộc thẩm quyền của Chủ tịch UBND cấp tỉnh (không thuộc thẩm quyền của HĐND tỉnh)</w:t>
            </w:r>
            <w:r w:rsidRPr="00A1694A">
              <w:rPr>
                <w:rStyle w:val="FootnoteReference"/>
                <w:rFonts w:cs="Times New Roman"/>
                <w:color w:val="000000" w:themeColor="text1"/>
              </w:rPr>
              <w:footnoteReference w:id="1"/>
            </w:r>
            <w:r w:rsidRPr="00A1694A">
              <w:rPr>
                <w:rFonts w:cs="Times New Roman"/>
                <w:color w:val="000000" w:themeColor="text1"/>
              </w:rPr>
              <w:t>.</w:t>
            </w:r>
          </w:p>
          <w:p w14:paraId="4AD00380" w14:textId="7213776A" w:rsidR="00810D85" w:rsidRPr="00E55209" w:rsidRDefault="00810D85" w:rsidP="008954D7">
            <w:pPr>
              <w:spacing w:before="120" w:after="120"/>
              <w:ind w:left="57" w:right="57"/>
              <w:jc w:val="both"/>
              <w:rPr>
                <w:rFonts w:cs="Times New Roman"/>
                <w:color w:val="000000" w:themeColor="text1"/>
                <w:kern w:val="2"/>
                <w14:ligatures w14:val="standardContextual"/>
              </w:rPr>
            </w:pPr>
            <w:r>
              <w:t xml:space="preserve">Do đó, việc bãi bỏ </w:t>
            </w:r>
            <w:r w:rsidRPr="00D366FC">
              <w:rPr>
                <w:color w:val="000000" w:themeColor="text1"/>
                <w:kern w:val="2"/>
                <w14:ligatures w14:val="standardContextual"/>
              </w:rPr>
              <w:t>Nghị quyết số 18/2019/NQ-HĐND</w:t>
            </w:r>
            <w:r>
              <w:t xml:space="preserve"> là cần thiết và phù hợp.</w:t>
            </w:r>
          </w:p>
        </w:tc>
        <w:tc>
          <w:tcPr>
            <w:tcW w:w="3119" w:type="dxa"/>
            <w:vAlign w:val="center"/>
          </w:tcPr>
          <w:p w14:paraId="29230F88" w14:textId="01DAD233" w:rsidR="00A40705" w:rsidRPr="002F79F3" w:rsidRDefault="0090062F" w:rsidP="007966A0">
            <w:pPr>
              <w:spacing w:before="120" w:after="120" w:line="340" w:lineRule="exact"/>
              <w:jc w:val="center"/>
              <w:rPr>
                <w:rFonts w:cs="Times New Roman"/>
                <w:iCs/>
                <w:szCs w:val="28"/>
                <w:lang w:val="pt-BR"/>
              </w:rPr>
            </w:pPr>
            <w:r>
              <w:rPr>
                <w:rFonts w:cs="Times New Roman"/>
                <w:iCs/>
                <w:szCs w:val="28"/>
                <w:lang w:val="pt-BR"/>
              </w:rPr>
              <w:lastRenderedPageBreak/>
              <w:t>Sở Tài chính</w:t>
            </w:r>
          </w:p>
        </w:tc>
      </w:tr>
      <w:tr w:rsidR="00A40705" w14:paraId="4D1211EB" w14:textId="77777777" w:rsidTr="00E23D2C">
        <w:trPr>
          <w:trHeight w:val="1418"/>
        </w:trPr>
        <w:tc>
          <w:tcPr>
            <w:tcW w:w="792" w:type="dxa"/>
            <w:vAlign w:val="center"/>
          </w:tcPr>
          <w:p w14:paraId="416B1C41" w14:textId="77777777" w:rsidR="00A40705" w:rsidRDefault="00A40705" w:rsidP="005376EC">
            <w:pPr>
              <w:jc w:val="center"/>
            </w:pPr>
            <w:r>
              <w:t>2</w:t>
            </w:r>
          </w:p>
        </w:tc>
        <w:tc>
          <w:tcPr>
            <w:tcW w:w="5021" w:type="dxa"/>
            <w:vAlign w:val="center"/>
          </w:tcPr>
          <w:p w14:paraId="4527B584" w14:textId="0EF967B9" w:rsidR="00A40705" w:rsidRPr="005376EC" w:rsidRDefault="004F3CF9" w:rsidP="00A55CE5">
            <w:pPr>
              <w:spacing w:before="120" w:after="120" w:line="340" w:lineRule="exact"/>
              <w:jc w:val="both"/>
              <w:rPr>
                <w:rFonts w:cs="Times New Roman"/>
                <w:iCs/>
                <w:szCs w:val="28"/>
                <w:lang w:val="pt-BR"/>
              </w:rPr>
            </w:pPr>
            <w:r w:rsidRPr="00D366FC">
              <w:rPr>
                <w:color w:val="000000" w:themeColor="text1"/>
                <w:shd w:val="clear" w:color="auto" w:fill="FFFFFF"/>
              </w:rPr>
              <w:t xml:space="preserve">Nghị quyết số 81/2022/NQ-HĐND ngày </w:t>
            </w:r>
            <w:r w:rsidRPr="00D366FC">
              <w:rPr>
                <w:color w:val="000000" w:themeColor="text1"/>
              </w:rPr>
              <w:t xml:space="preserve">09 tháng 12 năm 2022 </w:t>
            </w:r>
            <w:r>
              <w:rPr>
                <w:color w:val="000000" w:themeColor="text1"/>
                <w:kern w:val="2"/>
                <w14:ligatures w14:val="standardContextual"/>
              </w:rPr>
              <w:t>của Hội đồng nhân dân tỉnh Cao Bằng</w:t>
            </w:r>
            <w:r w:rsidRPr="00D366FC">
              <w:rPr>
                <w:color w:val="000000" w:themeColor="text1"/>
              </w:rPr>
              <w:t xml:space="preserve"> quy định thời hạn phê chuẩn quyết toán ngân sách cấp xã, cấp huyện và thời hạn Ủy ban nhân dân các cấp gửi báo cáo quyết toán ngân sách hằng năm trên địa bàn tỉnh Cao Bằng</w:t>
            </w:r>
          </w:p>
        </w:tc>
        <w:tc>
          <w:tcPr>
            <w:tcW w:w="6378" w:type="dxa"/>
          </w:tcPr>
          <w:p w14:paraId="6AF0F478" w14:textId="77777777" w:rsidR="00A40705" w:rsidRDefault="00F26C5D" w:rsidP="008954D7">
            <w:pPr>
              <w:spacing w:before="120" w:after="120"/>
              <w:ind w:left="57" w:right="57"/>
              <w:jc w:val="both"/>
              <w:rPr>
                <w:color w:val="000000" w:themeColor="text1"/>
                <w:kern w:val="2"/>
                <w:lang w:val="vi-VN" w:eastAsia="vi-VN" w:bidi="vi-VN"/>
                <w14:ligatures w14:val="standardContextual"/>
              </w:rPr>
            </w:pPr>
            <w:r w:rsidRPr="00D366FC">
              <w:rPr>
                <w:color w:val="000000" w:themeColor="text1"/>
                <w:kern w:val="2"/>
                <w:lang w:eastAsia="vi-VN" w:bidi="vi-VN"/>
                <w14:ligatures w14:val="standardContextual"/>
              </w:rPr>
              <w:t>K</w:t>
            </w:r>
            <w:r w:rsidRPr="00D366FC">
              <w:rPr>
                <w:color w:val="000000" w:themeColor="text1"/>
                <w:kern w:val="2"/>
                <w:lang w:val="vi-VN" w:eastAsia="vi-VN" w:bidi="vi-VN"/>
                <w14:ligatures w14:val="standardContextual"/>
              </w:rPr>
              <w:t xml:space="preserve">hoản 3 Điều 71 Luật Ngân sách </w:t>
            </w:r>
            <w:r w:rsidRPr="00D366FC">
              <w:rPr>
                <w:color w:val="000000" w:themeColor="text1"/>
                <w:kern w:val="2"/>
                <w:lang w:eastAsia="vi-VN" w:bidi="vi-VN"/>
                <w14:ligatures w14:val="standardContextual"/>
              </w:rPr>
              <w:t xml:space="preserve">ngày 25 tháng 6 năm 2025 (Luật </w:t>
            </w:r>
            <w:r w:rsidRPr="00D366FC">
              <w:rPr>
                <w:color w:val="000000" w:themeColor="text1"/>
                <w:kern w:val="2"/>
                <w:lang w:val="vi-VN" w:eastAsia="vi-VN" w:bidi="vi-VN"/>
                <w14:ligatures w14:val="standardContextual"/>
              </w:rPr>
              <w:t>số 89/2025/QH15</w:t>
            </w:r>
            <w:r w:rsidRPr="00D366FC">
              <w:rPr>
                <w:color w:val="000000" w:themeColor="text1"/>
                <w:kern w:val="2"/>
                <w:lang w:eastAsia="vi-VN" w:bidi="vi-VN"/>
                <w14:ligatures w14:val="standardContextual"/>
              </w:rPr>
              <w:t>)</w:t>
            </w:r>
            <w:r w:rsidRPr="00D366FC">
              <w:rPr>
                <w:color w:val="000000" w:themeColor="text1"/>
                <w:kern w:val="2"/>
                <w:lang w:val="vi-VN" w:eastAsia="vi-VN" w:bidi="vi-VN"/>
                <w14:ligatures w14:val="standardContextual"/>
              </w:rPr>
              <w:t xml:space="preserve"> </w:t>
            </w:r>
            <w:r w:rsidRPr="00D366FC">
              <w:rPr>
                <w:color w:val="000000" w:themeColor="text1"/>
                <w:kern w:val="2"/>
                <w:lang w:eastAsia="vi-VN" w:bidi="vi-VN"/>
                <w14:ligatures w14:val="standardContextual"/>
              </w:rPr>
              <w:t xml:space="preserve">quy định: </w:t>
            </w:r>
            <w:r w:rsidRPr="00D366FC">
              <w:rPr>
                <w:color w:val="000000" w:themeColor="text1"/>
                <w:kern w:val="2"/>
                <w:lang w:val="vi-VN" w:eastAsia="vi-VN" w:bidi="vi-VN"/>
                <w14:ligatures w14:val="standardContextual"/>
              </w:rPr>
              <w:t>“</w:t>
            </w:r>
            <w:r w:rsidRPr="00D366FC">
              <w:rPr>
                <w:i/>
                <w:iCs/>
                <w:color w:val="000000" w:themeColor="text1"/>
                <w:kern w:val="2"/>
                <w:lang w:val="vi-VN" w:eastAsia="vi-VN" w:bidi="vi-VN"/>
                <w14:ligatures w14:val="standardContextual"/>
              </w:rPr>
              <w:t xml:space="preserve">3. Hội đồng nhân dân cấp xã xem xét, phê chuẩn báo cáo quyết toán ngân sách cấp mình trước ngày 31 tháng 3 năm sau, gửi Ủy ban nhân dân cấp tỉnh chậm nhất sau 05 ngày làm việc, kể từ ngày báo cáo quyết toán được phê chuẩn, Ủy ban nhân dân cấp tỉnh tổng hợp, lập quyết toán ngân sách địa phương, gửi Bộ Tài chính, Kiểm toán nhà nước trước ngày 01 tháng 5 năm sau, trình Hội đồng nhân dân cấp tỉnh để phê chuẩn quyết toán ngân sách địa phương trước ngày 01 tháng 7 năm sau”. </w:t>
            </w:r>
            <w:r w:rsidRPr="00D366FC">
              <w:rPr>
                <w:color w:val="000000" w:themeColor="text1"/>
                <w:kern w:val="2"/>
                <w:lang w:val="vi-VN" w:eastAsia="vi-VN" w:bidi="vi-VN"/>
                <w14:ligatures w14:val="standardContextual"/>
              </w:rPr>
              <w:t xml:space="preserve">Theo đó, </w:t>
            </w:r>
            <w:r w:rsidRPr="00D366FC">
              <w:rPr>
                <w:color w:val="000000" w:themeColor="text1"/>
                <w:kern w:val="2"/>
                <w:lang w:eastAsia="vi-VN" w:bidi="vi-VN"/>
                <w14:ligatures w14:val="standardContextual"/>
              </w:rPr>
              <w:t xml:space="preserve">Luật </w:t>
            </w:r>
            <w:r w:rsidRPr="00D366FC">
              <w:rPr>
                <w:color w:val="000000" w:themeColor="text1"/>
                <w:kern w:val="2"/>
                <w:lang w:val="vi-VN" w:eastAsia="vi-VN" w:bidi="vi-VN"/>
                <w14:ligatures w14:val="standardContextual"/>
              </w:rPr>
              <w:t>số 89/2025/QH15</w:t>
            </w:r>
            <w:r w:rsidRPr="00D366FC">
              <w:rPr>
                <w:color w:val="000000" w:themeColor="text1"/>
                <w:kern w:val="2"/>
                <w:lang w:eastAsia="vi-VN" w:bidi="vi-VN"/>
                <w14:ligatures w14:val="standardContextual"/>
              </w:rPr>
              <w:t xml:space="preserve"> </w:t>
            </w:r>
            <w:r w:rsidRPr="00D366FC">
              <w:rPr>
                <w:color w:val="000000" w:themeColor="text1"/>
                <w:kern w:val="2"/>
                <w:lang w:val="vi-VN" w:eastAsia="vi-VN" w:bidi="vi-VN"/>
                <w14:ligatures w14:val="standardContextual"/>
              </w:rPr>
              <w:t xml:space="preserve">đã quy định cụ </w:t>
            </w:r>
            <w:r w:rsidRPr="00D366FC">
              <w:rPr>
                <w:color w:val="000000" w:themeColor="text1"/>
                <w:kern w:val="2"/>
                <w:lang w:eastAsia="vi-VN" w:bidi="vi-VN"/>
                <w14:ligatures w14:val="standardContextual"/>
              </w:rPr>
              <w:t xml:space="preserve">thể </w:t>
            </w:r>
            <w:r w:rsidRPr="00D366FC">
              <w:rPr>
                <w:color w:val="000000" w:themeColor="text1"/>
                <w:kern w:val="2"/>
                <w:lang w:val="vi-VN" w:eastAsia="vi-VN" w:bidi="vi-VN"/>
                <w14:ligatures w14:val="standardContextual"/>
              </w:rPr>
              <w:t xml:space="preserve">thời hạn </w:t>
            </w:r>
            <w:r w:rsidRPr="00D366FC">
              <w:rPr>
                <w:color w:val="000000" w:themeColor="text1"/>
                <w:kern w:val="2"/>
                <w:lang w:eastAsia="vi-VN" w:bidi="vi-VN"/>
                <w14:ligatures w14:val="standardContextual"/>
              </w:rPr>
              <w:t xml:space="preserve">quyết toán ngân sách </w:t>
            </w:r>
            <w:r w:rsidRPr="00D366FC">
              <w:rPr>
                <w:color w:val="000000" w:themeColor="text1"/>
                <w:kern w:val="2"/>
                <w:lang w:val="vi-VN" w:eastAsia="vi-VN" w:bidi="vi-VN"/>
                <w14:ligatures w14:val="standardContextual"/>
              </w:rPr>
              <w:t>cấp xã.</w:t>
            </w:r>
          </w:p>
          <w:p w14:paraId="75BCB749" w14:textId="559A4DF6" w:rsidR="00810D85" w:rsidRPr="00F26C5D" w:rsidRDefault="00810D85" w:rsidP="008954D7">
            <w:pPr>
              <w:spacing w:before="120" w:after="120"/>
              <w:ind w:left="57" w:right="57"/>
              <w:jc w:val="both"/>
              <w:rPr>
                <w:color w:val="000000" w:themeColor="text1"/>
                <w:kern w:val="2"/>
                <w14:ligatures w14:val="standardContextual"/>
              </w:rPr>
            </w:pPr>
            <w:r>
              <w:t xml:space="preserve">Do đó, việc bãi bỏ </w:t>
            </w:r>
            <w:r w:rsidRPr="00D366FC">
              <w:rPr>
                <w:color w:val="000000" w:themeColor="text1"/>
                <w:shd w:val="clear" w:color="auto" w:fill="FFFFFF"/>
              </w:rPr>
              <w:t xml:space="preserve">Nghị quyết số 81/2022/NQ-HĐND ngày </w:t>
            </w:r>
            <w:r w:rsidRPr="00D366FC">
              <w:rPr>
                <w:color w:val="000000" w:themeColor="text1"/>
              </w:rPr>
              <w:t>09 tháng 12 năm 2022</w:t>
            </w:r>
            <w:r>
              <w:t xml:space="preserve"> là cần thiết và phù hợp.</w:t>
            </w:r>
          </w:p>
        </w:tc>
        <w:tc>
          <w:tcPr>
            <w:tcW w:w="3119" w:type="dxa"/>
            <w:vAlign w:val="center"/>
          </w:tcPr>
          <w:p w14:paraId="63D06726" w14:textId="2711C9C3" w:rsidR="00A40705" w:rsidRPr="00E66DB4" w:rsidRDefault="0090062F" w:rsidP="007966A0">
            <w:pPr>
              <w:pStyle w:val="NormalWeb"/>
              <w:shd w:val="clear" w:color="auto" w:fill="FFFFFF"/>
              <w:spacing w:before="120" w:beforeAutospacing="0" w:after="0" w:afterAutospacing="0"/>
              <w:jc w:val="center"/>
              <w:rPr>
                <w:rFonts w:eastAsia="Arial"/>
                <w:iCs/>
                <w:sz w:val="28"/>
                <w:szCs w:val="28"/>
                <w:lang w:val="pt-BR" w:eastAsia="zh-CN"/>
              </w:rPr>
            </w:pPr>
            <w:r w:rsidRPr="0090062F">
              <w:rPr>
                <w:iCs/>
                <w:sz w:val="28"/>
                <w:szCs w:val="28"/>
                <w:lang w:val="pt-BR"/>
              </w:rPr>
              <w:t>Sở Tài chính</w:t>
            </w:r>
          </w:p>
        </w:tc>
      </w:tr>
      <w:tr w:rsidR="00A40705" w14:paraId="6C346694" w14:textId="77777777" w:rsidTr="00E23D2C">
        <w:trPr>
          <w:trHeight w:val="1220"/>
        </w:trPr>
        <w:tc>
          <w:tcPr>
            <w:tcW w:w="792" w:type="dxa"/>
            <w:vAlign w:val="center"/>
          </w:tcPr>
          <w:p w14:paraId="49463A8A" w14:textId="77777777" w:rsidR="00A40705" w:rsidRDefault="00A40705" w:rsidP="005376EC">
            <w:pPr>
              <w:jc w:val="center"/>
            </w:pPr>
            <w:r>
              <w:lastRenderedPageBreak/>
              <w:t>3</w:t>
            </w:r>
          </w:p>
        </w:tc>
        <w:tc>
          <w:tcPr>
            <w:tcW w:w="5021" w:type="dxa"/>
            <w:vAlign w:val="center"/>
          </w:tcPr>
          <w:p w14:paraId="264095A1" w14:textId="2C43606F" w:rsidR="00A40705" w:rsidRDefault="004F3CF9" w:rsidP="00A55CE5">
            <w:pPr>
              <w:jc w:val="both"/>
            </w:pPr>
            <w:r w:rsidRPr="00D366FC">
              <w:rPr>
                <w:color w:val="000000" w:themeColor="text1"/>
              </w:rPr>
              <w:t xml:space="preserve">Nghị quyết số 02/2025/NQ-HĐND ngày 15 tháng 4 năm 2025 </w:t>
            </w:r>
            <w:r>
              <w:rPr>
                <w:color w:val="000000" w:themeColor="text1"/>
                <w:kern w:val="2"/>
                <w14:ligatures w14:val="standardContextual"/>
              </w:rPr>
              <w:t>của Hội đồng nhân dân tỉnh Cao Bằng</w:t>
            </w:r>
            <w:r w:rsidRPr="00D366FC">
              <w:rPr>
                <w:color w:val="000000" w:themeColor="text1"/>
              </w:rPr>
              <w:t xml:space="preserve"> quy định thẩm quyết quyết định thanh lý rừng trồng thuộc sở hữu toàn dân trên địa bàn tỉnh Cao Bằng</w:t>
            </w:r>
          </w:p>
        </w:tc>
        <w:tc>
          <w:tcPr>
            <w:tcW w:w="6378" w:type="dxa"/>
          </w:tcPr>
          <w:p w14:paraId="246150F1" w14:textId="193E81F6" w:rsidR="0090062F" w:rsidRPr="00D366FC" w:rsidRDefault="0090062F" w:rsidP="008954D7">
            <w:pPr>
              <w:spacing w:before="120" w:after="120"/>
              <w:jc w:val="both"/>
              <w:rPr>
                <w:color w:val="000000" w:themeColor="text1"/>
                <w:kern w:val="2"/>
                <w:lang w:val="vi-VN" w:eastAsia="vi-VN" w:bidi="vi-VN"/>
                <w14:ligatures w14:val="standardContextual"/>
              </w:rPr>
            </w:pPr>
            <w:r>
              <w:rPr>
                <w:color w:val="000000" w:themeColor="text1"/>
                <w:kern w:val="2"/>
                <w:lang w:eastAsia="vi-VN" w:bidi="vi-VN"/>
                <w14:ligatures w14:val="standardContextual"/>
              </w:rPr>
              <w:t xml:space="preserve">- </w:t>
            </w:r>
            <w:r w:rsidRPr="00D366FC">
              <w:rPr>
                <w:color w:val="000000" w:themeColor="text1"/>
                <w:kern w:val="2"/>
                <w:lang w:eastAsia="vi-VN" w:bidi="vi-VN"/>
                <w14:ligatures w14:val="standardContextual"/>
              </w:rPr>
              <w:t>Đ</w:t>
            </w:r>
            <w:r w:rsidRPr="00D366FC">
              <w:rPr>
                <w:color w:val="000000" w:themeColor="text1"/>
                <w:kern w:val="2"/>
                <w:lang w:val="vi-VN" w:eastAsia="vi-VN" w:bidi="vi-VN"/>
                <w14:ligatures w14:val="standardContextual"/>
              </w:rPr>
              <w:t>iểm b khoản 3 Điều 26a Luật Lâm nghiệp (được bổ sung bởi Luật sửa đổi, bổ sung một số Điều của 15 Luật trong lĩnh vực Nông nghiệp và Môi trường</w:t>
            </w:r>
            <w:r w:rsidRPr="00D366FC">
              <w:rPr>
                <w:color w:val="000000" w:themeColor="text1"/>
                <w:kern w:val="2"/>
                <w:lang w:eastAsia="vi-VN" w:bidi="vi-VN"/>
                <w14:ligatures w14:val="standardContextual"/>
              </w:rPr>
              <w:t xml:space="preserve"> ngày 11 tháng 12 năm 2025</w:t>
            </w:r>
            <w:r w:rsidRPr="00D366FC">
              <w:rPr>
                <w:color w:val="000000" w:themeColor="text1"/>
                <w:kern w:val="2"/>
                <w:lang w:val="vi-VN" w:eastAsia="vi-VN" w:bidi="vi-VN"/>
                <w14:ligatures w14:val="standardContextual"/>
              </w:rPr>
              <w:t>) quy định:</w:t>
            </w:r>
            <w:r w:rsidRPr="00D366FC">
              <w:rPr>
                <w:i/>
                <w:iCs/>
                <w:color w:val="000000" w:themeColor="text1"/>
                <w:kern w:val="2"/>
                <w:lang w:val="vi-VN" w:eastAsia="vi-VN" w:bidi="vi-VN"/>
                <w14:ligatures w14:val="standardContextual"/>
              </w:rPr>
              <w:t xml:space="preserve"> “Chủ tịch Ủy ban nhân dân cấp tỉnh quyết định thanh lý rừng trồng thuộc quản lý của địa phương ”.</w:t>
            </w:r>
          </w:p>
          <w:p w14:paraId="446AFA34" w14:textId="20EDCFDF" w:rsidR="0090062F" w:rsidRPr="00D366FC" w:rsidRDefault="0090062F" w:rsidP="008954D7">
            <w:pPr>
              <w:spacing w:before="120" w:after="120"/>
              <w:jc w:val="both"/>
              <w:rPr>
                <w:i/>
                <w:iCs/>
                <w:color w:val="000000" w:themeColor="text1"/>
                <w:kern w:val="2"/>
                <w:lang w:val="vi-VN" w:eastAsia="vi-VN" w:bidi="vi-VN"/>
                <w14:ligatures w14:val="standardContextual"/>
              </w:rPr>
            </w:pPr>
            <w:r>
              <w:rPr>
                <w:color w:val="000000" w:themeColor="text1"/>
                <w:kern w:val="2"/>
                <w:lang w:eastAsia="vi-VN" w:bidi="vi-VN"/>
                <w14:ligatures w14:val="standardContextual"/>
              </w:rPr>
              <w:t xml:space="preserve">- </w:t>
            </w:r>
            <w:r w:rsidRPr="00D366FC">
              <w:rPr>
                <w:color w:val="000000" w:themeColor="text1"/>
                <w:kern w:val="2"/>
                <w:lang w:eastAsia="vi-VN" w:bidi="vi-VN"/>
                <w14:ligatures w14:val="standardContextual"/>
              </w:rPr>
              <w:t>K</w:t>
            </w:r>
            <w:r w:rsidRPr="00D366FC">
              <w:rPr>
                <w:color w:val="000000" w:themeColor="text1"/>
                <w:kern w:val="2"/>
                <w:lang w:val="vi-VN" w:eastAsia="vi-VN" w:bidi="vi-VN"/>
                <w14:ligatures w14:val="standardContextual"/>
              </w:rPr>
              <w:t>hoản 3 Điều 34a Nghị định số 156/2018/NĐ-CP ngày 16 tháng 11 năm 2018 của Chính phủ quy định chi tiết thi hành một số điều của Luật Lâm nghiệp (</w:t>
            </w:r>
            <w:r>
              <w:rPr>
                <w:color w:val="000000" w:themeColor="text1"/>
                <w:kern w:val="2"/>
                <w:lang w:eastAsia="vi-VN" w:bidi="vi-VN"/>
                <w14:ligatures w14:val="standardContextual"/>
              </w:rPr>
              <w:t>đ</w:t>
            </w:r>
            <w:r w:rsidRPr="00D366FC">
              <w:rPr>
                <w:color w:val="000000" w:themeColor="text1"/>
                <w:kern w:val="2"/>
                <w:lang w:val="vi-VN" w:eastAsia="vi-VN" w:bidi="vi-VN"/>
                <w14:ligatures w14:val="standardContextual"/>
              </w:rPr>
              <w:t>ược sửa đổi, bổ sung tại Nghị định số 42/2026/NQ-CP ngày 26 tháng 01 năm 2026 của Chính phủ</w:t>
            </w:r>
            <w:r>
              <w:rPr>
                <w:rStyle w:val="FootnoteReference"/>
                <w:color w:val="000000" w:themeColor="text1"/>
                <w:kern w:val="2"/>
                <w:lang w:val="vi-VN" w:eastAsia="vi-VN" w:bidi="vi-VN"/>
                <w14:ligatures w14:val="standardContextual"/>
              </w:rPr>
              <w:footnoteReference w:id="2"/>
            </w:r>
            <w:r w:rsidRPr="00D366FC">
              <w:rPr>
                <w:color w:val="000000" w:themeColor="text1"/>
                <w:kern w:val="2"/>
                <w:lang w:val="vi-VN" w:eastAsia="vi-VN" w:bidi="vi-VN"/>
                <w14:ligatures w14:val="standardContextual"/>
              </w:rPr>
              <w:t>) quy định</w:t>
            </w:r>
            <w:r w:rsidRPr="00D366FC">
              <w:rPr>
                <w:i/>
                <w:iCs/>
                <w:color w:val="000000" w:themeColor="text1"/>
                <w:kern w:val="2"/>
                <w:lang w:val="vi-VN" w:eastAsia="vi-VN" w:bidi="vi-VN"/>
                <w14:ligatures w14:val="standardContextual"/>
              </w:rPr>
              <w:t xml:space="preserve">: “3. Thẩm quyền quyết định thanh lý rừng trồng theo quy định tại khoản 3 Điều 26a Luật Lâm nghiệp”. </w:t>
            </w:r>
          </w:p>
          <w:p w14:paraId="1F987C58" w14:textId="77777777" w:rsidR="00A40705" w:rsidRDefault="0090062F" w:rsidP="008954D7">
            <w:pPr>
              <w:spacing w:before="120" w:after="120"/>
              <w:jc w:val="both"/>
              <w:rPr>
                <w:color w:val="000000" w:themeColor="text1"/>
                <w:kern w:val="2"/>
                <w:lang w:eastAsia="vi-VN" w:bidi="vi-VN"/>
                <w14:ligatures w14:val="standardContextual"/>
              </w:rPr>
            </w:pPr>
            <w:r w:rsidRPr="00D366FC">
              <w:rPr>
                <w:color w:val="000000" w:themeColor="text1"/>
                <w:kern w:val="2"/>
                <w:lang w:val="vi-VN" w:eastAsia="vi-VN" w:bidi="vi-VN"/>
                <w14:ligatures w14:val="standardContextual"/>
              </w:rPr>
              <w:t xml:space="preserve">Theo đó, </w:t>
            </w:r>
            <w:r w:rsidRPr="00D366FC">
              <w:rPr>
                <w:color w:val="000000" w:themeColor="text1"/>
                <w:kern w:val="2"/>
                <w:lang w:eastAsia="vi-VN" w:bidi="vi-VN"/>
                <w14:ligatures w14:val="standardContextual"/>
              </w:rPr>
              <w:t>việc</w:t>
            </w:r>
            <w:r w:rsidRPr="00D366FC">
              <w:rPr>
                <w:color w:val="000000" w:themeColor="text1"/>
                <w:kern w:val="2"/>
                <w:lang w:val="vi-VN" w:eastAsia="vi-VN" w:bidi="vi-VN"/>
                <w14:ligatures w14:val="standardContextual"/>
              </w:rPr>
              <w:t xml:space="preserve"> quyết định thanh lý rừng trồng thuộc thẩm quyền của Chủ tịch UBND tỉnh </w:t>
            </w:r>
            <w:r w:rsidRPr="00D366FC">
              <w:rPr>
                <w:color w:val="000000" w:themeColor="text1"/>
                <w:kern w:val="2"/>
                <w:lang w:eastAsia="vi-VN" w:bidi="vi-VN"/>
                <w14:ligatures w14:val="standardContextual"/>
              </w:rPr>
              <w:t>(</w:t>
            </w:r>
            <w:r>
              <w:rPr>
                <w:color w:val="000000" w:themeColor="text1"/>
                <w:kern w:val="2"/>
                <w:lang w:eastAsia="vi-VN" w:bidi="vi-VN"/>
                <w14:ligatures w14:val="standardContextual"/>
              </w:rPr>
              <w:t>không thuộc thẩm quyền của HĐND tỉnh).</w:t>
            </w:r>
          </w:p>
          <w:p w14:paraId="520D48B8" w14:textId="43A274F5" w:rsidR="00810D85" w:rsidRPr="0090062F" w:rsidRDefault="00810D85" w:rsidP="008954D7">
            <w:pPr>
              <w:spacing w:before="120" w:after="120"/>
              <w:jc w:val="both"/>
              <w:rPr>
                <w:color w:val="000000" w:themeColor="text1"/>
                <w:spacing w:val="2"/>
              </w:rPr>
            </w:pPr>
            <w:r>
              <w:t xml:space="preserve">Do đó, việc bãi bỏ </w:t>
            </w:r>
            <w:r w:rsidRPr="00D366FC">
              <w:rPr>
                <w:color w:val="000000" w:themeColor="text1"/>
              </w:rPr>
              <w:t>Nghị quyết số 02/2025/N</w:t>
            </w:r>
            <w:r>
              <w:rPr>
                <w:color w:val="000000" w:themeColor="text1"/>
              </w:rPr>
              <w:t>Q-HĐND ngày 15 tháng 4 năm 2025</w:t>
            </w:r>
            <w:r>
              <w:t xml:space="preserve"> là cần thiết và phù hợp.</w:t>
            </w:r>
          </w:p>
        </w:tc>
        <w:tc>
          <w:tcPr>
            <w:tcW w:w="3119" w:type="dxa"/>
            <w:vAlign w:val="center"/>
          </w:tcPr>
          <w:p w14:paraId="62AB99B4" w14:textId="0B898590" w:rsidR="00A40705" w:rsidRPr="006D011A" w:rsidRDefault="0090062F" w:rsidP="007966A0">
            <w:pPr>
              <w:spacing w:before="120" w:after="120" w:line="340" w:lineRule="exact"/>
              <w:jc w:val="center"/>
              <w:rPr>
                <w:rFonts w:eastAsia="Arial" w:cs="Times New Roman"/>
                <w:iCs/>
                <w:szCs w:val="28"/>
                <w:lang w:val="pt-BR" w:eastAsia="zh-CN"/>
              </w:rPr>
            </w:pPr>
            <w:r>
              <w:rPr>
                <w:rFonts w:eastAsia="Arial" w:cs="Times New Roman"/>
                <w:iCs/>
                <w:szCs w:val="28"/>
                <w:lang w:val="pt-BR" w:eastAsia="zh-CN"/>
              </w:rPr>
              <w:t>Sở Nông nghiệp và Môi trường</w:t>
            </w:r>
          </w:p>
        </w:tc>
      </w:tr>
      <w:tr w:rsidR="00E23D2C" w14:paraId="450C7664" w14:textId="77777777" w:rsidTr="00E23D2C">
        <w:trPr>
          <w:trHeight w:val="1265"/>
        </w:trPr>
        <w:tc>
          <w:tcPr>
            <w:tcW w:w="792" w:type="dxa"/>
            <w:vAlign w:val="center"/>
          </w:tcPr>
          <w:p w14:paraId="315033F4" w14:textId="77777777" w:rsidR="00E23D2C" w:rsidRDefault="00E23D2C" w:rsidP="005376EC">
            <w:pPr>
              <w:jc w:val="center"/>
            </w:pPr>
            <w:r>
              <w:t>4</w:t>
            </w:r>
          </w:p>
        </w:tc>
        <w:tc>
          <w:tcPr>
            <w:tcW w:w="5021" w:type="dxa"/>
            <w:vAlign w:val="center"/>
          </w:tcPr>
          <w:p w14:paraId="6CE5D89A" w14:textId="688C9C1A" w:rsidR="00E23D2C" w:rsidRDefault="00E23D2C" w:rsidP="00FF56DD">
            <w:pPr>
              <w:jc w:val="both"/>
            </w:pPr>
            <w:r>
              <w:t>Nghị quyết số 41/2023/NQ-HĐND ngày 13 tháng 7 năm 2023 quy định các khoản thu, mức thu dịch vụ phục vụ, hỗ trợ hoạt động giáo dục ngoài học phí đối với các cơ sở giáo dục công lập trên địa bàn tỉnh Cao Bằng</w:t>
            </w:r>
          </w:p>
        </w:tc>
        <w:tc>
          <w:tcPr>
            <w:tcW w:w="6378" w:type="dxa"/>
            <w:vMerge w:val="restart"/>
          </w:tcPr>
          <w:p w14:paraId="4CAA5234" w14:textId="78BB294D" w:rsidR="00E23D2C" w:rsidRPr="008954D7" w:rsidRDefault="00E23D2C" w:rsidP="00037178">
            <w:pPr>
              <w:spacing w:before="120" w:after="120" w:line="340" w:lineRule="exact"/>
              <w:jc w:val="both"/>
              <w:rPr>
                <w:i/>
              </w:rPr>
            </w:pPr>
            <w:r>
              <w:t>- Điểm c khoản 4 Điều 99 Luật giáo dục được sửa đổi, bổ sung bởi khoản 24 Điều 1 Luật số 123/2025/QH15 quy định: "</w:t>
            </w:r>
            <w:r w:rsidRPr="008954D7">
              <w:rPr>
                <w:i/>
              </w:rPr>
              <w:t xml:space="preserve">4. Cơ chế thu và quản lý học phí, các khoản </w:t>
            </w:r>
            <w:r w:rsidRPr="008954D7">
              <w:rPr>
                <w:i/>
              </w:rPr>
              <w:lastRenderedPageBreak/>
              <w:t>thu dịch vụ phục vụ và hỗ trợ hoạt động giáo dục quy định như sau: ...</w:t>
            </w:r>
          </w:p>
          <w:p w14:paraId="2335EBB9" w14:textId="5EC99523" w:rsidR="00E23D2C" w:rsidRDefault="00E23D2C" w:rsidP="00037178">
            <w:pPr>
              <w:spacing w:before="120" w:after="120" w:line="340" w:lineRule="exact"/>
              <w:jc w:val="both"/>
            </w:pPr>
            <w:r w:rsidRPr="008954D7">
              <w:rPr>
                <w:i/>
              </w:rPr>
              <w:t>c) Ủy ban nhân dân cấp tỉnh quy định cơ chế thu và sử dụng mức thu dịch vụ tuyển sinh các cấp học, quyết định danh mục và mức thu dịch vụ phục vụ và hỗ trợ hoạt động giáo dục do địa phương quản lý theo quy định tại khoản 2 Điều này</w:t>
            </w:r>
            <w:r>
              <w:t xml:space="preserve">". </w:t>
            </w:r>
          </w:p>
          <w:p w14:paraId="0C5A9971" w14:textId="06A81D9C" w:rsidR="00E23D2C" w:rsidRPr="003F512B" w:rsidRDefault="00E23D2C" w:rsidP="00037178">
            <w:pPr>
              <w:spacing w:before="120" w:after="120" w:line="340" w:lineRule="exact"/>
              <w:jc w:val="both"/>
              <w:rPr>
                <w:i/>
              </w:rPr>
            </w:pPr>
            <w:r>
              <w:t>- Khoản 4 Điều 13 Nghị định số</w:t>
            </w:r>
            <w:r w:rsidR="00EF7E3C">
              <w:t xml:space="preserve"> 66/2026/NĐ-CP ngày 02 tháng 3 năm 2026 </w:t>
            </w:r>
            <w:r w:rsidR="0074121B">
              <w:t xml:space="preserve">của Chính phủ </w:t>
            </w:r>
            <w:r w:rsidR="00EF7E3C">
              <w:rPr>
                <w:rFonts w:cs="Times New Roman"/>
                <w:bCs/>
                <w:color w:val="222222"/>
              </w:rPr>
              <w:t>q</w:t>
            </w:r>
            <w:r w:rsidR="00EF7E3C" w:rsidRPr="00EF7E3C">
              <w:rPr>
                <w:rFonts w:cs="Times New Roman"/>
                <w:bCs/>
                <w:color w:val="222222"/>
              </w:rPr>
              <w:t>uy định chi tiết một số điều của Luật</w:t>
            </w:r>
            <w:r w:rsidR="00EF7E3C">
              <w:t xml:space="preserve"> Giáo dục, quy </w:t>
            </w:r>
            <w:r>
              <w:t>định: "</w:t>
            </w:r>
            <w:r w:rsidRPr="003F512B">
              <w:rPr>
                <w:i/>
              </w:rPr>
              <w:t>4. Sửa đổi, bổ sung quy định tại điểm b khoản 3 Điều 4 Nghị định số 238/2025/NĐ-CP ngày 03 tháng 9 năm 2025 của Chính phủ quy định về chính sách học phí, miễn, giảm, hỗ trợ học phí, hỗ trợ chi phí học tập và giá dịch vụ trong lĩnh vực giáo dục, đào tạo như sau:</w:t>
            </w:r>
          </w:p>
          <w:p w14:paraId="35692FE4" w14:textId="77777777" w:rsidR="00E23D2C" w:rsidRDefault="00E23D2C" w:rsidP="00037178">
            <w:pPr>
              <w:spacing w:before="120" w:after="120" w:line="340" w:lineRule="exact"/>
              <w:jc w:val="both"/>
              <w:rPr>
                <w:i/>
              </w:rPr>
            </w:pPr>
            <w:r w:rsidRPr="00181A42">
              <w:rPr>
                <w:i/>
              </w:rPr>
              <w:t>…Ủy ban nhân dân tỉnh, thành phố quyết định chi tiết danh mục các khoản thu, mức thu và cơ chế quản lý thu, chi đối với dịch vụ tuyển sinh, các dịch vụ phục vụ và hỗ trợ hoạt động giáo dục, đào tạo trong cơ sở giáo dục công lập theo thẩm quyền quản lý để áp dụng tại địa phương".</w:t>
            </w:r>
          </w:p>
          <w:p w14:paraId="281AA1E6" w14:textId="6EB25263" w:rsidR="00E23D2C" w:rsidRPr="0046062E" w:rsidRDefault="00E23D2C" w:rsidP="00037178">
            <w:pPr>
              <w:spacing w:before="120" w:after="120" w:line="340" w:lineRule="exact"/>
              <w:jc w:val="both"/>
              <w:rPr>
                <w:rFonts w:asciiTheme="majorHAnsi" w:hAnsiTheme="majorHAnsi" w:cstheme="majorHAnsi"/>
                <w:b/>
                <w:color w:val="000000" w:themeColor="text1"/>
                <w:sz w:val="20"/>
                <w:szCs w:val="20"/>
                <w:lang w:val="pt-BR"/>
              </w:rPr>
            </w:pPr>
            <w:r>
              <w:t>Do đó, việc bãi bỏ Nghị quyết số 41/2023/NQ-HĐND ngày 13 tháng 7 năm 2023 và Nghị quyết số 08/2025/NQ-HĐND ngày 09 tháng 7 năm 2025 là cần thiết và phù hợp với tình hình thực tế hiện nay.</w:t>
            </w:r>
          </w:p>
        </w:tc>
        <w:tc>
          <w:tcPr>
            <w:tcW w:w="3119" w:type="dxa"/>
            <w:vMerge w:val="restart"/>
            <w:vAlign w:val="center"/>
          </w:tcPr>
          <w:p w14:paraId="20C1C76D" w14:textId="1DB3073D" w:rsidR="00E23D2C" w:rsidRPr="00DF2A50" w:rsidRDefault="00E23D2C" w:rsidP="007966A0">
            <w:pPr>
              <w:spacing w:before="120" w:after="120" w:line="340" w:lineRule="exact"/>
              <w:jc w:val="center"/>
              <w:rPr>
                <w:shd w:val="clear" w:color="auto" w:fill="FFFFFF"/>
                <w:lang w:val="pt-BR" w:eastAsia="vi-VN" w:bidi="vi-VN"/>
              </w:rPr>
            </w:pPr>
            <w:r>
              <w:rPr>
                <w:shd w:val="clear" w:color="auto" w:fill="FFFFFF"/>
                <w:lang w:val="pt-BR" w:eastAsia="vi-VN" w:bidi="vi-VN"/>
              </w:rPr>
              <w:lastRenderedPageBreak/>
              <w:t>Sở Giáo dục và Đào tạo</w:t>
            </w:r>
          </w:p>
        </w:tc>
      </w:tr>
      <w:tr w:rsidR="00E23D2C" w14:paraId="1E397BFA" w14:textId="77777777" w:rsidTr="00E23D2C">
        <w:trPr>
          <w:trHeight w:val="1265"/>
        </w:trPr>
        <w:tc>
          <w:tcPr>
            <w:tcW w:w="792" w:type="dxa"/>
            <w:vAlign w:val="center"/>
          </w:tcPr>
          <w:p w14:paraId="28127AC7" w14:textId="147D6FCC" w:rsidR="00E23D2C" w:rsidRDefault="00E23D2C" w:rsidP="005376EC">
            <w:pPr>
              <w:jc w:val="center"/>
            </w:pPr>
            <w:r>
              <w:lastRenderedPageBreak/>
              <w:t>5</w:t>
            </w:r>
          </w:p>
        </w:tc>
        <w:tc>
          <w:tcPr>
            <w:tcW w:w="5021" w:type="dxa"/>
            <w:vAlign w:val="center"/>
          </w:tcPr>
          <w:p w14:paraId="67FCDA2A" w14:textId="567CA809" w:rsidR="00E23D2C" w:rsidRPr="00706D39" w:rsidRDefault="00E23D2C" w:rsidP="00FF56DD">
            <w:pPr>
              <w:jc w:val="both"/>
            </w:pPr>
            <w:r>
              <w:t>Nghị quyết số 08/2025/NQ-HĐND ngày 09 tháng 7 năm 2025 sửa đổi, bổ sung điều 4 của quy định các khoản thu, mức thu dịch vụ phục vụ, hỗ trợ hoạt động giáo dục ngoài học phí trong các cơ sở giáo dục công lập trên địa bàn tỉnh Cao Bằng ban hành kèm theo Nghị quyết số 41/2023/NQ-HĐND ngày 13 tháng 7 năm 2023 của HĐND tỉnh</w:t>
            </w:r>
          </w:p>
        </w:tc>
        <w:tc>
          <w:tcPr>
            <w:tcW w:w="6378" w:type="dxa"/>
            <w:vMerge/>
          </w:tcPr>
          <w:p w14:paraId="06613716" w14:textId="1EA7BCB0" w:rsidR="00E23D2C" w:rsidRPr="00E0695D" w:rsidRDefault="00E23D2C" w:rsidP="00661454">
            <w:pPr>
              <w:spacing w:before="120" w:after="120" w:line="340" w:lineRule="exact"/>
              <w:jc w:val="both"/>
              <w:rPr>
                <w:rFonts w:ascii="Arial" w:hAnsi="Arial" w:cs="Arial"/>
                <w:color w:val="000000"/>
                <w:sz w:val="20"/>
                <w:szCs w:val="20"/>
                <w:lang w:val="pt-BR"/>
              </w:rPr>
            </w:pPr>
          </w:p>
        </w:tc>
        <w:tc>
          <w:tcPr>
            <w:tcW w:w="3119" w:type="dxa"/>
            <w:vMerge/>
            <w:vAlign w:val="center"/>
          </w:tcPr>
          <w:p w14:paraId="5A8AE9D5" w14:textId="5DEB1594" w:rsidR="00E23D2C" w:rsidRPr="00183067" w:rsidRDefault="00E23D2C" w:rsidP="007966A0">
            <w:pPr>
              <w:spacing w:before="120" w:after="120" w:line="340" w:lineRule="exact"/>
              <w:jc w:val="center"/>
              <w:rPr>
                <w:rFonts w:eastAsia="Arial"/>
                <w:iCs/>
                <w:szCs w:val="26"/>
                <w:lang w:val="pt-BR" w:eastAsia="zh-CN"/>
              </w:rPr>
            </w:pPr>
          </w:p>
        </w:tc>
      </w:tr>
      <w:tr w:rsidR="00A40705" w14:paraId="0709E354" w14:textId="77777777" w:rsidTr="00E23D2C">
        <w:trPr>
          <w:trHeight w:val="985"/>
        </w:trPr>
        <w:tc>
          <w:tcPr>
            <w:tcW w:w="792" w:type="dxa"/>
            <w:vAlign w:val="center"/>
          </w:tcPr>
          <w:p w14:paraId="1E55F95E" w14:textId="6B17E6AD" w:rsidR="00A40705" w:rsidRDefault="004F3CF9" w:rsidP="005376EC">
            <w:pPr>
              <w:jc w:val="center"/>
            </w:pPr>
            <w:r>
              <w:lastRenderedPageBreak/>
              <w:t>6</w:t>
            </w:r>
          </w:p>
        </w:tc>
        <w:tc>
          <w:tcPr>
            <w:tcW w:w="5021" w:type="dxa"/>
            <w:vAlign w:val="center"/>
          </w:tcPr>
          <w:p w14:paraId="634C52EE" w14:textId="025509BF" w:rsidR="00A40705" w:rsidRPr="005376EC" w:rsidRDefault="00342B21" w:rsidP="00342B21">
            <w:pPr>
              <w:spacing w:before="120" w:after="120" w:line="340" w:lineRule="exact"/>
              <w:jc w:val="both"/>
              <w:rPr>
                <w:rFonts w:cs="Times New Roman"/>
                <w:color w:val="000000"/>
                <w:szCs w:val="28"/>
                <w:lang w:val="pt-BR"/>
              </w:rPr>
            </w:pPr>
            <w:r w:rsidRPr="00342B21">
              <w:rPr>
                <w:rFonts w:cs="Times New Roman"/>
                <w:color w:val="000000"/>
                <w:szCs w:val="28"/>
                <w:lang w:val="pt-BR"/>
              </w:rPr>
              <w:t>Nghị quyết số</w:t>
            </w:r>
            <w:r w:rsidR="00E611D9">
              <w:rPr>
                <w:rFonts w:cs="Times New Roman"/>
                <w:color w:val="000000"/>
                <w:szCs w:val="28"/>
                <w:lang w:val="pt-BR"/>
              </w:rPr>
              <w:t xml:space="preserve"> 18/2018/NQ-HĐND ngày 12 tháng 12 năm </w:t>
            </w:r>
            <w:r w:rsidRPr="00342B21">
              <w:rPr>
                <w:rFonts w:cs="Times New Roman"/>
                <w:color w:val="000000"/>
                <w:szCs w:val="28"/>
                <w:lang w:val="pt-BR"/>
              </w:rPr>
              <w:t>2018 của Hội đồng nhân dân tỉnh Cao Bằ</w:t>
            </w:r>
            <w:r>
              <w:rPr>
                <w:rFonts w:cs="Times New Roman"/>
                <w:color w:val="000000"/>
                <w:szCs w:val="28"/>
                <w:lang w:val="pt-BR"/>
              </w:rPr>
              <w:t xml:space="preserve">ng </w:t>
            </w:r>
            <w:r w:rsidRPr="00342B21">
              <w:rPr>
                <w:rFonts w:cs="Times New Roman"/>
                <w:color w:val="000000"/>
                <w:szCs w:val="28"/>
                <w:lang w:val="pt-BR"/>
              </w:rPr>
              <w:t>quy định mức phân bổ và nội dung chi đảm bảo trật tự an toàn giao thông trên địa bàn tỉnh Cao Bằng</w:t>
            </w:r>
          </w:p>
        </w:tc>
        <w:tc>
          <w:tcPr>
            <w:tcW w:w="6378" w:type="dxa"/>
          </w:tcPr>
          <w:p w14:paraId="36B9EFE1" w14:textId="01692FAB" w:rsidR="00C73F87" w:rsidRDefault="00C73F87" w:rsidP="00A55CE5">
            <w:pPr>
              <w:spacing w:before="120" w:after="120" w:line="340" w:lineRule="exact"/>
              <w:jc w:val="both"/>
            </w:pPr>
            <w:r>
              <w:t xml:space="preserve">Căn cứ Thông tư số 01/2018/TT-BTC ngày </w:t>
            </w:r>
            <w:r w:rsidR="00E611D9">
              <w:t xml:space="preserve">02 tháng 01 năm </w:t>
            </w:r>
            <w:r>
              <w:t xml:space="preserve">2018 của Bộ trưởng Bộ Tài chính quy định việc quản lý và sử dụng kinh phí bảo đảm trật tự an toàn giao thông, HĐND tỉnh ban hành Nghị quyết số 18/2018/NQ-HĐND. </w:t>
            </w:r>
          </w:p>
          <w:p w14:paraId="6F3A9F05" w14:textId="17368035" w:rsidR="00C73F87" w:rsidRDefault="00C73F87" w:rsidP="00A55CE5">
            <w:pPr>
              <w:spacing w:before="120" w:after="120" w:line="340" w:lineRule="exact"/>
              <w:jc w:val="both"/>
            </w:pPr>
            <w:r>
              <w:t xml:space="preserve">Tuy nhiên, </w:t>
            </w:r>
            <w:r w:rsidR="003F512B">
              <w:t xml:space="preserve">Bộ trưởng </w:t>
            </w:r>
            <w:r>
              <w:t>Bộ Tài chính đã ban hành Thông tư số</w:t>
            </w:r>
            <w:r w:rsidR="00E611D9">
              <w:t xml:space="preserve"> 01/2026/TT-BTC ngày 01 tháng 01 năm </w:t>
            </w:r>
            <w:r w:rsidR="009D50AB">
              <w:t>2026 q</w:t>
            </w:r>
            <w:r>
              <w:t>uy định việc quản lý và sử dụng kinh phí bảo đảm trật tự an toàn giao thông (</w:t>
            </w:r>
            <w:r w:rsidRPr="009D50AB">
              <w:rPr>
                <w:i/>
              </w:rPr>
              <w:t>có hiệu lực thi hành kể từ</w:t>
            </w:r>
            <w:r w:rsidR="00E611D9" w:rsidRPr="009D50AB">
              <w:rPr>
                <w:i/>
              </w:rPr>
              <w:t xml:space="preserve"> ngày 20 tháng 02 năm </w:t>
            </w:r>
            <w:r w:rsidRPr="009D50AB">
              <w:rPr>
                <w:i/>
              </w:rPr>
              <w:t>2026</w:t>
            </w:r>
            <w:r>
              <w:t xml:space="preserve">), trong đó: </w:t>
            </w:r>
          </w:p>
          <w:p w14:paraId="324D3E29" w14:textId="77777777" w:rsidR="00C73F87" w:rsidRDefault="00C73F87" w:rsidP="00A55CE5">
            <w:pPr>
              <w:spacing w:before="120" w:after="120" w:line="340" w:lineRule="exact"/>
              <w:jc w:val="both"/>
            </w:pPr>
            <w:r>
              <w:t xml:space="preserve">- Thông tư số 01/2018/TT-BTC ngày 02 tháng 01 năm 2018 của Bộ trưởng Bộ Tài chính quy định việc quản lý và sử dụng kinh phí bảo đảm trật tự an toàn giao thông, hết hiệu lực thi hành; </w:t>
            </w:r>
          </w:p>
          <w:p w14:paraId="6BD1EF9E" w14:textId="77777777" w:rsidR="00D1599E" w:rsidRDefault="00C73F87" w:rsidP="00A55CE5">
            <w:pPr>
              <w:spacing w:before="120" w:after="120" w:line="340" w:lineRule="exact"/>
              <w:jc w:val="both"/>
            </w:pPr>
            <w:r>
              <w:t xml:space="preserve">- Tại Điều 4 quy định: </w:t>
            </w:r>
          </w:p>
          <w:p w14:paraId="762D8BAC" w14:textId="525A433A" w:rsidR="00A40705" w:rsidRPr="00F34578" w:rsidRDefault="00C73F87" w:rsidP="00A55CE5">
            <w:pPr>
              <w:spacing w:before="120" w:after="120" w:line="340" w:lineRule="exact"/>
              <w:jc w:val="both"/>
              <w:rPr>
                <w:i/>
              </w:rPr>
            </w:pPr>
            <w:r>
              <w:t>"</w:t>
            </w:r>
            <w:r w:rsidRPr="00F34578">
              <w:rPr>
                <w:i/>
              </w:rPr>
              <w:t>1. Mức chi cho công tác bảo đảm trật tự an toàn giao thông thực hiện theo định mức, chế độ chi tiêu tài chính hiện hành do cơ quan nhà nước có thẩm quyền quy định.</w:t>
            </w:r>
          </w:p>
          <w:p w14:paraId="15EA2355" w14:textId="3B9ECFC1" w:rsidR="00D1599E" w:rsidRPr="00F34578" w:rsidRDefault="00BD3F84" w:rsidP="00A55CE5">
            <w:pPr>
              <w:spacing w:before="120" w:after="120" w:line="340" w:lineRule="exact"/>
              <w:jc w:val="both"/>
              <w:rPr>
                <w:i/>
              </w:rPr>
            </w:pPr>
            <w:r w:rsidRPr="00F34578">
              <w:rPr>
                <w:i/>
              </w:rPr>
              <w:t>2. Đối với nội dung chi chưa có mức chi do cơ quan nhà nước có thẩm quyền quy định, Chủ tịch Ủy ban An toàn giao thông Quốc gia, Bộ trưởng Bộ Xây dựng, Bộ trưởng Bộ Công an, Hội đồng nhân dân tỉnh, thành phố quyết định áp dụng mức chi của các nhiệm vụ, nội dung chi có tính ch</w:t>
            </w:r>
            <w:r w:rsidR="00723C43">
              <w:rPr>
                <w:i/>
              </w:rPr>
              <w:t>ất</w:t>
            </w:r>
            <w:r w:rsidRPr="00F34578">
              <w:rPr>
                <w:i/>
              </w:rPr>
              <w:t xml:space="preserve"> tương tự đã được cấp có thẩm quyền </w:t>
            </w:r>
            <w:r w:rsidRPr="00F34578">
              <w:rPr>
                <w:i/>
              </w:rPr>
              <w:lastRenderedPageBreak/>
              <w:t xml:space="preserve">quy định, có hóa đơn, chứng từ hợp pháp, trong phạm vi dự toán được giao và chịu trách nhiệm về quyết định của mình. </w:t>
            </w:r>
          </w:p>
          <w:p w14:paraId="5A965857" w14:textId="0530C857" w:rsidR="00BD3F84" w:rsidRPr="00F34578" w:rsidRDefault="00BD3F84" w:rsidP="00A55CE5">
            <w:pPr>
              <w:spacing w:before="120" w:after="120" w:line="340" w:lineRule="exact"/>
              <w:jc w:val="both"/>
              <w:rPr>
                <w:i/>
              </w:rPr>
            </w:pPr>
            <w:r w:rsidRPr="00F34578">
              <w:rPr>
                <w:i/>
              </w:rPr>
              <w:t xml:space="preserve">3. Một số mức chi quy định như sau: </w:t>
            </w:r>
            <w:r w:rsidR="00F34578" w:rsidRPr="00F34578">
              <w:rPr>
                <w:i/>
              </w:rPr>
              <w:t>…”</w:t>
            </w:r>
          </w:p>
          <w:p w14:paraId="15D80C72" w14:textId="227B0F41" w:rsidR="00BD3F84" w:rsidRDefault="00BD3F84" w:rsidP="00A55CE5">
            <w:pPr>
              <w:spacing w:before="120" w:after="120" w:line="340" w:lineRule="exact"/>
              <w:jc w:val="both"/>
            </w:pPr>
            <w:r>
              <w:t xml:space="preserve">- Điểm b khoản 2 Điều 5 quy định: </w:t>
            </w:r>
          </w:p>
          <w:p w14:paraId="3F3690D9" w14:textId="0BE977F6" w:rsidR="00BD3F84" w:rsidRDefault="00BD3F84" w:rsidP="00A55CE5">
            <w:pPr>
              <w:spacing w:before="120" w:after="120" w:line="340" w:lineRule="exact"/>
              <w:jc w:val="both"/>
            </w:pPr>
            <w:r>
              <w:t>"</w:t>
            </w:r>
            <w:r w:rsidRPr="00320475">
              <w:rPr>
                <w:i/>
              </w:rPr>
              <w:t>b) Đối với địa phương: Sở Xây dựng tổng hợp kinh phi thực hiện nhiệm vụ bảo đảm trật tự an toàn giao thông của Ban An toàn giao thông các tỉnh, thành phố do Văn phòng Ban lập trong dự toán ngân sách nhà nước của Sở Xây dựng, gửi cơ quan tài chính cùng cấp xem xét, tổng hợp chung vào dự toán chi ngân sách hàng năm báo cáo Ủy ban nhân dân cấp tỉnh, đề trình Hội đồng nhân dân tỉnh theo quy định. Các cơ quan khác ở địa phương được giao nhiệm v</w:t>
            </w:r>
            <w:r w:rsidR="00F34578">
              <w:rPr>
                <w:i/>
              </w:rPr>
              <w:t>ụ</w:t>
            </w:r>
            <w:r w:rsidRPr="00320475">
              <w:rPr>
                <w:i/>
              </w:rPr>
              <w:t xml:space="preserve"> bảo đảm trật tự an toàn giao thông lập dự toán kinh phí ngân sách nhà nước đảm bảo trật tự an toàn giao thông theo quy định của pháp luật về ngân sách nhà nước</w:t>
            </w:r>
            <w:r>
              <w:t xml:space="preserve">". </w:t>
            </w:r>
          </w:p>
          <w:p w14:paraId="782B70AC" w14:textId="03C128B1" w:rsidR="0046062E" w:rsidRDefault="00BD3F84" w:rsidP="00A55CE5">
            <w:pPr>
              <w:spacing w:before="120" w:after="120" w:line="340" w:lineRule="exact"/>
              <w:jc w:val="both"/>
            </w:pPr>
            <w:r>
              <w:t>Theo đó, Thông tư số</w:t>
            </w:r>
            <w:r w:rsidR="009D50AB">
              <w:t xml:space="preserve"> 01</w:t>
            </w:r>
            <w:r>
              <w:t>/2026/TT-BTC quy định cụ thể nội dung ch</w:t>
            </w:r>
            <w:r w:rsidR="009D50AB">
              <w:t>i</w:t>
            </w:r>
            <w:r>
              <w:t xml:space="preserve">, mức chi và không giao HĐND tỉnh quy định mức phân bổ kinh phí ngân sách Trung ương bổ sung có mục tiêu cho ngân sách địa phương từ nguồn thu xử phạt vi phạm hành chính trong lĩnh vực an toàn giao thông. </w:t>
            </w:r>
          </w:p>
          <w:p w14:paraId="2CD7F0DF" w14:textId="5044BDA0" w:rsidR="00BD3F84" w:rsidRPr="00E0695D" w:rsidRDefault="00BD3F84" w:rsidP="00A55CE5">
            <w:pPr>
              <w:spacing w:before="120" w:after="120" w:line="340" w:lineRule="exact"/>
              <w:jc w:val="both"/>
              <w:rPr>
                <w:rFonts w:cs="Times New Roman"/>
                <w:color w:val="000000"/>
                <w:szCs w:val="28"/>
                <w:lang w:val="pt-BR"/>
              </w:rPr>
            </w:pPr>
            <w:r>
              <w:t>Vì vậy, việc bãi bỏ Nghị quyết số 18/2018/NQ-HĐND là cần thiết.</w:t>
            </w:r>
          </w:p>
        </w:tc>
        <w:tc>
          <w:tcPr>
            <w:tcW w:w="3119" w:type="dxa"/>
            <w:vAlign w:val="center"/>
          </w:tcPr>
          <w:p w14:paraId="73405BAD" w14:textId="28C4EC82" w:rsidR="00A40705" w:rsidRPr="00B765C9" w:rsidRDefault="00005A76" w:rsidP="007966A0">
            <w:pPr>
              <w:spacing w:before="120" w:after="120" w:line="340" w:lineRule="exact"/>
              <w:jc w:val="center"/>
              <w:rPr>
                <w:rFonts w:cs="Times New Roman"/>
                <w:iCs/>
                <w:szCs w:val="28"/>
                <w:lang w:val="pt-BR"/>
              </w:rPr>
            </w:pPr>
            <w:r>
              <w:rPr>
                <w:rFonts w:cs="Times New Roman"/>
                <w:iCs/>
                <w:szCs w:val="28"/>
                <w:lang w:val="pt-BR"/>
              </w:rPr>
              <w:lastRenderedPageBreak/>
              <w:t>Sở Tài chính</w:t>
            </w:r>
          </w:p>
        </w:tc>
      </w:tr>
      <w:tr w:rsidR="00342B21" w14:paraId="33E1024B" w14:textId="77777777" w:rsidTr="00E23D2C">
        <w:trPr>
          <w:trHeight w:val="985"/>
        </w:trPr>
        <w:tc>
          <w:tcPr>
            <w:tcW w:w="792" w:type="dxa"/>
            <w:vAlign w:val="center"/>
          </w:tcPr>
          <w:p w14:paraId="2D2B5990" w14:textId="5A21D01C" w:rsidR="00342B21" w:rsidRDefault="00342B21" w:rsidP="005376EC">
            <w:pPr>
              <w:jc w:val="center"/>
            </w:pPr>
            <w:r>
              <w:lastRenderedPageBreak/>
              <w:t>7</w:t>
            </w:r>
          </w:p>
        </w:tc>
        <w:tc>
          <w:tcPr>
            <w:tcW w:w="5021" w:type="dxa"/>
            <w:vAlign w:val="center"/>
          </w:tcPr>
          <w:p w14:paraId="7317AB2C" w14:textId="66D79820" w:rsidR="00342B21" w:rsidRPr="00342B21" w:rsidRDefault="00342B21" w:rsidP="00342B21">
            <w:pPr>
              <w:spacing w:before="120" w:after="120" w:line="340" w:lineRule="exact"/>
              <w:jc w:val="both"/>
              <w:rPr>
                <w:rFonts w:cs="Times New Roman"/>
                <w:color w:val="000000"/>
                <w:szCs w:val="28"/>
                <w:lang w:val="pt-BR"/>
              </w:rPr>
            </w:pPr>
            <w:r w:rsidRPr="00342B21">
              <w:rPr>
                <w:rFonts w:cs="Times New Roman"/>
                <w:color w:val="000000"/>
                <w:szCs w:val="28"/>
                <w:lang w:val="pt-BR"/>
              </w:rPr>
              <w:t>Nghị quyết số</w:t>
            </w:r>
            <w:r w:rsidR="00E611D9">
              <w:rPr>
                <w:rFonts w:cs="Times New Roman"/>
                <w:color w:val="000000"/>
                <w:szCs w:val="28"/>
                <w:lang w:val="pt-BR"/>
              </w:rPr>
              <w:t xml:space="preserve"> 11/2025/NQ-HĐND ngày 09 tháng 7 năm </w:t>
            </w:r>
            <w:r w:rsidRPr="00342B21">
              <w:rPr>
                <w:rFonts w:cs="Times New Roman"/>
                <w:color w:val="000000"/>
                <w:szCs w:val="28"/>
                <w:lang w:val="pt-BR"/>
              </w:rPr>
              <w:t>2025 quy định thẩm quyền quyết đị</w:t>
            </w:r>
            <w:r>
              <w:rPr>
                <w:rFonts w:cs="Times New Roman"/>
                <w:color w:val="000000"/>
                <w:szCs w:val="28"/>
                <w:lang w:val="pt-BR"/>
              </w:rPr>
              <w:t xml:space="preserve">nh phê </w:t>
            </w:r>
            <w:r w:rsidRPr="00342B21">
              <w:rPr>
                <w:rFonts w:cs="Times New Roman"/>
                <w:color w:val="000000"/>
                <w:szCs w:val="28"/>
                <w:lang w:val="pt-BR"/>
              </w:rPr>
              <w:t>duyệt nhiệm vụ và dự toán kinh phí thực hiện mua sắm, sửa chữa, cải tạo, nâng cấp tài sản, trang thiết</w:t>
            </w:r>
            <w:r>
              <w:rPr>
                <w:rFonts w:cs="Times New Roman"/>
                <w:color w:val="000000"/>
                <w:szCs w:val="28"/>
                <w:lang w:val="pt-BR"/>
              </w:rPr>
              <w:t xml:space="preserve"> </w:t>
            </w:r>
            <w:r w:rsidRPr="00342B21">
              <w:rPr>
                <w:rFonts w:cs="Times New Roman"/>
                <w:color w:val="000000"/>
                <w:szCs w:val="28"/>
                <w:lang w:val="pt-BR"/>
              </w:rPr>
              <w:t>bị; chi thuê hàng hoá, dịch vụ; sửa chữa, cải tạo, nâng cấp, mở rộng, xây dựng mới hạng mụ</w:t>
            </w:r>
            <w:r>
              <w:rPr>
                <w:rFonts w:cs="Times New Roman"/>
                <w:color w:val="000000"/>
                <w:szCs w:val="28"/>
                <w:lang w:val="pt-BR"/>
              </w:rPr>
              <w:t xml:space="preserve">c công </w:t>
            </w:r>
            <w:r w:rsidRPr="00342B21">
              <w:rPr>
                <w:rFonts w:cs="Times New Roman"/>
                <w:color w:val="000000"/>
                <w:szCs w:val="28"/>
                <w:lang w:val="pt-BR"/>
              </w:rPr>
              <w:t>trình trong các dự án đã đầu tư xây dựng trên địa bàn tỉnh Cao Bằng</w:t>
            </w:r>
          </w:p>
        </w:tc>
        <w:tc>
          <w:tcPr>
            <w:tcW w:w="6378" w:type="dxa"/>
          </w:tcPr>
          <w:p w14:paraId="70F1CD75" w14:textId="412EDE62" w:rsidR="0046062E" w:rsidRDefault="0046062E" w:rsidP="00A55CE5">
            <w:pPr>
              <w:spacing w:before="120" w:after="120" w:line="340" w:lineRule="exact"/>
              <w:jc w:val="both"/>
            </w:pPr>
            <w:r>
              <w:t>Căn cứ Nghị định số</w:t>
            </w:r>
            <w:r w:rsidR="00320475">
              <w:t xml:space="preserve"> 98/2025/NĐ-CP ngày 06/5/2025 </w:t>
            </w:r>
            <w:r>
              <w:t>của Chính phủ quy định việc lập dự toán, quản lý, sử dụng và quyết toán chi thường xuyên để mua sắm, sửa chữa, cải tạo, nâng cấp tài sản, trang thiết bị</w:t>
            </w:r>
            <w:r w:rsidR="00320475">
              <w:t xml:space="preserve">; chi thuê </w:t>
            </w:r>
            <w:r>
              <w:t>hàng hóa, dịch vụ; sửa chữa, cải tạo, nâng cấp, mở rộng, xây dựng mới hạng mục công trình trong các dự án đã đầu tư xây dựng và các nhiệm vụ cần thiế</w:t>
            </w:r>
            <w:r w:rsidR="00320475">
              <w:t xml:space="preserve">t khác, </w:t>
            </w:r>
            <w:r>
              <w:t>Sở Tài chính đã tham mưu UBND tỉnh trình HĐND tỉnh ban hành Nghị quyết số</w:t>
            </w:r>
            <w:r w:rsidR="00E611D9">
              <w:t xml:space="preserve"> 11/2025/NQ-HĐND ngày 09 tháng 7 năm </w:t>
            </w:r>
            <w:r>
              <w:t xml:space="preserve">2025. </w:t>
            </w:r>
          </w:p>
          <w:p w14:paraId="21B6991C" w14:textId="7A6A21D3" w:rsidR="0046062E" w:rsidRDefault="0046062E" w:rsidP="00A55CE5">
            <w:pPr>
              <w:spacing w:before="120" w:after="120" w:line="340" w:lineRule="exact"/>
              <w:jc w:val="both"/>
            </w:pPr>
            <w:r>
              <w:t>Tuy nhiên, Chính phủ ban hành Nghị định số</w:t>
            </w:r>
            <w:r w:rsidR="00D84AE4">
              <w:t xml:space="preserve"> 104/2026/NĐ-CP ngày 31 tháng 3 năm </w:t>
            </w:r>
            <w:r>
              <w:t>2026 quy định việc lập dự toán, quản lý, sử dụng và quyết toán chi thường xuyên để thực hiện các nhiệm vụ quy định tại Điều 40 Luậ</w:t>
            </w:r>
            <w:r w:rsidR="00320475">
              <w:t xml:space="preserve">t </w:t>
            </w:r>
            <w:r>
              <w:t>Ngân sách nhà nước, có hiệu lực thi hành kể từ ngày ký ban hành (thay thế Nghị định số</w:t>
            </w:r>
            <w:r w:rsidR="00320475">
              <w:t xml:space="preserve"> 98/2025/NĐ-CP </w:t>
            </w:r>
            <w:r>
              <w:t>ngày 06 tháng 5 năm 2025</w:t>
            </w:r>
            <w:r w:rsidR="000576D3">
              <w:t>)</w:t>
            </w:r>
            <w:r>
              <w:t xml:space="preserve">. </w:t>
            </w:r>
          </w:p>
          <w:p w14:paraId="607A6566" w14:textId="77777777" w:rsidR="0046062E" w:rsidRDefault="0046062E" w:rsidP="00A55CE5">
            <w:pPr>
              <w:spacing w:before="120" w:after="120" w:line="340" w:lineRule="exact"/>
              <w:jc w:val="both"/>
            </w:pPr>
            <w:r>
              <w:t xml:space="preserve">Đối với một số nhiệm vụ tại khoản 3 Điều 17, điểm b khoản 2 Điều 20 và điểm b khoản 2 Điều 25 thuộc phạm vi quản lý của địa phương, quy định thẩm quyền quyết định hoặc quy định thẩm quyền quyết định phê duyệt các nhiệm vụ đã thay đổi, từ thẩm quyền của HĐND tỉnh sang thẩm quyền UBND tỉnh. </w:t>
            </w:r>
          </w:p>
          <w:p w14:paraId="6E0EAA39" w14:textId="7BE5A3F9" w:rsidR="00342B21" w:rsidRPr="00E0695D" w:rsidRDefault="0046062E" w:rsidP="00A55CE5">
            <w:pPr>
              <w:spacing w:before="120" w:after="120" w:line="340" w:lineRule="exact"/>
              <w:jc w:val="both"/>
              <w:rPr>
                <w:rFonts w:cs="Times New Roman"/>
                <w:color w:val="000000"/>
                <w:szCs w:val="28"/>
                <w:lang w:val="pt-BR"/>
              </w:rPr>
            </w:pPr>
            <w:r>
              <w:lastRenderedPageBreak/>
              <w:t>Do đó, việc bãi bỏ Nghị quyết số</w:t>
            </w:r>
            <w:r w:rsidR="00E611D9">
              <w:t xml:space="preserve"> 11/2025/NQ-HĐND ngày 09 tháng 7 năm </w:t>
            </w:r>
            <w:r>
              <w:t>2025 là cần thiết và phù hợp với tình hình thực tế hiện nay.</w:t>
            </w:r>
          </w:p>
        </w:tc>
        <w:tc>
          <w:tcPr>
            <w:tcW w:w="3119" w:type="dxa"/>
            <w:vAlign w:val="center"/>
          </w:tcPr>
          <w:p w14:paraId="43A534A2" w14:textId="0140773E" w:rsidR="00342B21" w:rsidRPr="00B765C9" w:rsidRDefault="00005A76" w:rsidP="007966A0">
            <w:pPr>
              <w:spacing w:before="120" w:after="120" w:line="340" w:lineRule="exact"/>
              <w:jc w:val="center"/>
              <w:rPr>
                <w:rFonts w:cs="Times New Roman"/>
                <w:iCs/>
                <w:szCs w:val="28"/>
                <w:lang w:val="pt-BR"/>
              </w:rPr>
            </w:pPr>
            <w:r>
              <w:rPr>
                <w:rFonts w:cs="Times New Roman"/>
                <w:iCs/>
                <w:szCs w:val="28"/>
                <w:lang w:val="pt-BR"/>
              </w:rPr>
              <w:lastRenderedPageBreak/>
              <w:t>Sở Tài chính</w:t>
            </w:r>
          </w:p>
        </w:tc>
      </w:tr>
    </w:tbl>
    <w:p w14:paraId="2162BB26" w14:textId="77777777" w:rsidR="00695B84" w:rsidRPr="00695B84" w:rsidRDefault="00695B84" w:rsidP="004B092C">
      <w:pPr>
        <w:spacing w:after="0" w:line="240" w:lineRule="auto"/>
      </w:pPr>
    </w:p>
    <w:sectPr w:rsidR="00695B84" w:rsidRPr="00695B84" w:rsidSect="004C4E2A">
      <w:headerReference w:type="default" r:id="rId6"/>
      <w:pgSz w:w="16840" w:h="11907"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5592" w14:textId="77777777" w:rsidR="0071719D" w:rsidRDefault="0071719D" w:rsidP="002F79F3">
      <w:pPr>
        <w:spacing w:after="0" w:line="240" w:lineRule="auto"/>
      </w:pPr>
      <w:r>
        <w:separator/>
      </w:r>
    </w:p>
  </w:endnote>
  <w:endnote w:type="continuationSeparator" w:id="0">
    <w:p w14:paraId="6CCE93E6" w14:textId="77777777" w:rsidR="0071719D" w:rsidRDefault="0071719D" w:rsidP="002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9792" w14:textId="77777777" w:rsidR="0071719D" w:rsidRDefault="0071719D" w:rsidP="002F79F3">
      <w:pPr>
        <w:spacing w:after="0" w:line="240" w:lineRule="auto"/>
      </w:pPr>
      <w:r>
        <w:separator/>
      </w:r>
    </w:p>
  </w:footnote>
  <w:footnote w:type="continuationSeparator" w:id="0">
    <w:p w14:paraId="0E2B6A45" w14:textId="77777777" w:rsidR="0071719D" w:rsidRDefault="0071719D" w:rsidP="002F79F3">
      <w:pPr>
        <w:spacing w:after="0" w:line="240" w:lineRule="auto"/>
      </w:pPr>
      <w:r>
        <w:continuationSeparator/>
      </w:r>
    </w:p>
  </w:footnote>
  <w:footnote w:id="1">
    <w:p w14:paraId="26288C5E" w14:textId="77777777" w:rsidR="00A1694A" w:rsidRDefault="00A1694A" w:rsidP="00A1694A">
      <w:pPr>
        <w:pStyle w:val="FootnoteText"/>
        <w:jc w:val="both"/>
      </w:pPr>
      <w:r>
        <w:rPr>
          <w:rStyle w:val="FootnoteReference"/>
        </w:rPr>
        <w:footnoteRef/>
      </w:r>
      <w:r>
        <w:t xml:space="preserve"> </w:t>
      </w:r>
      <w:r w:rsidRPr="00E55209">
        <w:rPr>
          <w:rFonts w:ascii="Times New Roman" w:hAnsi="Times New Roman"/>
        </w:rPr>
        <w:t>Ngày 10 tháng 11 năm 2025, Hội đồng nhân dân tỉnh đã ban hành Nghị quyết số 20/2025/NQ-HĐND bãi bỏ một số Nghị quyết do Hội đồng nhân dân tỉnh ban hành</w:t>
      </w:r>
      <w:bookmarkStart w:id="0" w:name="dieu_2"/>
      <w:r w:rsidRPr="00E55209">
        <w:rPr>
          <w:rFonts w:ascii="Times New Roman" w:hAnsi="Times New Roman"/>
        </w:rPr>
        <w:t>; trong đó, b</w:t>
      </w:r>
      <w:r w:rsidRPr="00E55209">
        <w:rPr>
          <w:rFonts w:ascii="Times New Roman" w:hAnsi="Times New Roman"/>
          <w:bCs/>
          <w:color w:val="000000"/>
          <w:shd w:val="clear" w:color="auto" w:fill="FFFFFF"/>
        </w:rPr>
        <w:t>ãi bỏ một phần Quy định phân cấp thẩm quyền xác lập quyền sở hữu toàn dân về tài sản và phê duyệt phương án xử lý tài sản được xác lập quyền sở hữu toàn dân; phân cấp thẩm quyền phê duyệt đề án cho thuê quyền khai thác và xử lý tài sản kết cấu hạ tầng thủy lợi trên địa bàn tỉnh Cao Bằng ban hành kèm theo Nghị quyết số 18/2019/NQ-HĐND ngày 12 tháng 7 năm 2019 của Hội đồng nhân dân tỉnh Cao Bằng</w:t>
      </w:r>
      <w:bookmarkEnd w:id="0"/>
      <w:r w:rsidRPr="00E55209">
        <w:rPr>
          <w:rFonts w:ascii="Times New Roman" w:hAnsi="Times New Roman"/>
          <w:bCs/>
          <w:color w:val="000000"/>
          <w:shd w:val="clear" w:color="auto" w:fill="FFFFFF"/>
        </w:rPr>
        <w:t>.</w:t>
      </w:r>
    </w:p>
  </w:footnote>
  <w:footnote w:id="2">
    <w:p w14:paraId="398561A2" w14:textId="77777777" w:rsidR="0090062F" w:rsidRPr="00072E5D" w:rsidRDefault="0090062F" w:rsidP="0090062F">
      <w:pPr>
        <w:pStyle w:val="FootnoteText"/>
        <w:jc w:val="both"/>
        <w:rPr>
          <w:rFonts w:ascii="Times New Roman" w:hAnsi="Times New Roman"/>
        </w:rPr>
      </w:pPr>
      <w:r w:rsidRPr="00072E5D">
        <w:rPr>
          <w:rStyle w:val="FootnoteReference"/>
          <w:rFonts w:ascii="Times New Roman" w:hAnsi="Times New Roman"/>
          <w:color w:val="000000" w:themeColor="text1"/>
        </w:rPr>
        <w:footnoteRef/>
      </w:r>
      <w:r w:rsidRPr="00072E5D">
        <w:rPr>
          <w:rFonts w:ascii="Times New Roman" w:hAnsi="Times New Roman"/>
          <w:color w:val="000000" w:themeColor="text1"/>
        </w:rPr>
        <w:t xml:space="preserve"> </w:t>
      </w:r>
      <w:r w:rsidRPr="00072E5D">
        <w:rPr>
          <w:rFonts w:ascii="Times New Roman" w:hAnsi="Times New Roman"/>
          <w:bCs/>
          <w:color w:val="000000" w:themeColor="text1"/>
        </w:rPr>
        <w:t>Sửa đổi, bổ sung một số điều của các Nghị định trong lĩnh vực lâm nghiệp và kiểm lâm.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514759"/>
      <w:docPartObj>
        <w:docPartGallery w:val="Page Numbers (Top of Page)"/>
        <w:docPartUnique/>
      </w:docPartObj>
    </w:sdtPr>
    <w:sdtEndPr>
      <w:rPr>
        <w:noProof/>
      </w:rPr>
    </w:sdtEndPr>
    <w:sdtContent>
      <w:p w14:paraId="4F60C2BC" w14:textId="10856B16" w:rsidR="004C4E2A" w:rsidRDefault="004C4E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B63CAE" w14:textId="77777777" w:rsidR="004C4E2A" w:rsidRDefault="004C4E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A9"/>
    <w:rsid w:val="00005A76"/>
    <w:rsid w:val="00013A69"/>
    <w:rsid w:val="00037178"/>
    <w:rsid w:val="000576D3"/>
    <w:rsid w:val="00110806"/>
    <w:rsid w:val="00181A42"/>
    <w:rsid w:val="001869AA"/>
    <w:rsid w:val="001B4178"/>
    <w:rsid w:val="001F3B96"/>
    <w:rsid w:val="00253990"/>
    <w:rsid w:val="002F79F3"/>
    <w:rsid w:val="00302252"/>
    <w:rsid w:val="00320475"/>
    <w:rsid w:val="00322DCB"/>
    <w:rsid w:val="00342B21"/>
    <w:rsid w:val="00380D35"/>
    <w:rsid w:val="003F512B"/>
    <w:rsid w:val="0046062E"/>
    <w:rsid w:val="004B092C"/>
    <w:rsid w:val="004C4E2A"/>
    <w:rsid w:val="004F3CF9"/>
    <w:rsid w:val="005166F4"/>
    <w:rsid w:val="005279EC"/>
    <w:rsid w:val="00536708"/>
    <w:rsid w:val="005376EC"/>
    <w:rsid w:val="0059378D"/>
    <w:rsid w:val="005C2E58"/>
    <w:rsid w:val="005D68AD"/>
    <w:rsid w:val="006100FC"/>
    <w:rsid w:val="00612590"/>
    <w:rsid w:val="006351C3"/>
    <w:rsid w:val="00661454"/>
    <w:rsid w:val="00695B84"/>
    <w:rsid w:val="006A38E7"/>
    <w:rsid w:val="006D011A"/>
    <w:rsid w:val="00706D39"/>
    <w:rsid w:val="0071719D"/>
    <w:rsid w:val="00723C43"/>
    <w:rsid w:val="00731B01"/>
    <w:rsid w:val="0074121B"/>
    <w:rsid w:val="00774F05"/>
    <w:rsid w:val="007966A0"/>
    <w:rsid w:val="007B4B1B"/>
    <w:rsid w:val="007D4CD3"/>
    <w:rsid w:val="008061B6"/>
    <w:rsid w:val="00810D85"/>
    <w:rsid w:val="00831FA1"/>
    <w:rsid w:val="008954D7"/>
    <w:rsid w:val="008F3751"/>
    <w:rsid w:val="0090062F"/>
    <w:rsid w:val="00933387"/>
    <w:rsid w:val="009D50AB"/>
    <w:rsid w:val="00A1694A"/>
    <w:rsid w:val="00A40705"/>
    <w:rsid w:val="00A55CE5"/>
    <w:rsid w:val="00B44EA9"/>
    <w:rsid w:val="00B765C9"/>
    <w:rsid w:val="00BD3F84"/>
    <w:rsid w:val="00C31150"/>
    <w:rsid w:val="00C73F87"/>
    <w:rsid w:val="00D1599E"/>
    <w:rsid w:val="00D431E1"/>
    <w:rsid w:val="00D53013"/>
    <w:rsid w:val="00D84AE4"/>
    <w:rsid w:val="00D857C0"/>
    <w:rsid w:val="00E068A2"/>
    <w:rsid w:val="00E0695D"/>
    <w:rsid w:val="00E2027F"/>
    <w:rsid w:val="00E23D2C"/>
    <w:rsid w:val="00E55209"/>
    <w:rsid w:val="00E56AEE"/>
    <w:rsid w:val="00E611D9"/>
    <w:rsid w:val="00EF7E3C"/>
    <w:rsid w:val="00F03018"/>
    <w:rsid w:val="00F1159E"/>
    <w:rsid w:val="00F26C5D"/>
    <w:rsid w:val="00F34578"/>
    <w:rsid w:val="00F905AB"/>
    <w:rsid w:val="00F93F92"/>
    <w:rsid w:val="00F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AF46"/>
  <w15:chartTrackingRefBased/>
  <w15:docId w15:val="{EA71A402-C3B0-4B54-9B02-F4EF582B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5166F4"/>
    <w:rPr>
      <w:rFonts w:ascii="Arial" w:hAnsi="Arial" w:cs="Arial" w:hint="default"/>
      <w:b w:val="0"/>
      <w:bCs w:val="0"/>
      <w:i w:val="0"/>
      <w:iCs w:val="0"/>
      <w:color w:val="000000"/>
      <w:sz w:val="20"/>
      <w:szCs w:val="20"/>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qFormat/>
    <w:rsid w:val="002F79F3"/>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basedOn w:val="DefaultParagraphFont"/>
    <w:link w:val="FootnoteText"/>
    <w:qFormat/>
    <w:rsid w:val="002F79F3"/>
    <w:rPr>
      <w:rFonts w:ascii=".VnTime" w:eastAsia="Times New Roman" w:hAnsi=".VnTime" w:cs="Times New Roman"/>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link w:val="BVIfnrCharCharChar"/>
    <w:uiPriority w:val="99"/>
    <w:unhideWhenUsed/>
    <w:qFormat/>
    <w:rsid w:val="002F79F3"/>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2F79F3"/>
    <w:pPr>
      <w:spacing w:line="240" w:lineRule="exact"/>
    </w:pPr>
    <w:rPr>
      <w:vertAlign w:val="superscript"/>
    </w:rPr>
  </w:style>
  <w:style w:type="paragraph" w:styleId="NormalWeb">
    <w:name w:val="Normal (Web)"/>
    <w:aliases w:val="Обычный (веб)1,Обычный (веб) Знак,Обычный (веб) Знак1,Обычный (веб) Знак Знак,webb, Char Char Char,Char Char Char"/>
    <w:basedOn w:val="Normal"/>
    <w:link w:val="NormalWebChar"/>
    <w:uiPriority w:val="99"/>
    <w:qFormat/>
    <w:rsid w:val="006D011A"/>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 Char Char Char Char,Char Char Char Char"/>
    <w:link w:val="NormalWeb"/>
    <w:uiPriority w:val="99"/>
    <w:locked/>
    <w:rsid w:val="006D011A"/>
    <w:rPr>
      <w:rFonts w:eastAsia="Times New Roman" w:cs="Times New Roman"/>
      <w:sz w:val="24"/>
      <w:szCs w:val="24"/>
    </w:rPr>
  </w:style>
  <w:style w:type="paragraph" w:styleId="ListParagraph">
    <w:name w:val="List Paragraph"/>
    <w:basedOn w:val="Normal"/>
    <w:uiPriority w:val="34"/>
    <w:qFormat/>
    <w:rsid w:val="00D857C0"/>
    <w:pPr>
      <w:ind w:left="720"/>
      <w:contextualSpacing/>
    </w:pPr>
  </w:style>
  <w:style w:type="paragraph" w:styleId="Header">
    <w:name w:val="header"/>
    <w:basedOn w:val="Normal"/>
    <w:link w:val="HeaderChar"/>
    <w:uiPriority w:val="99"/>
    <w:unhideWhenUsed/>
    <w:rsid w:val="004C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2A"/>
  </w:style>
  <w:style w:type="paragraph" w:styleId="Footer">
    <w:name w:val="footer"/>
    <w:basedOn w:val="Normal"/>
    <w:link w:val="FooterChar"/>
    <w:uiPriority w:val="99"/>
    <w:unhideWhenUsed/>
    <w:rsid w:val="004C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8</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TCGamingCB</dc:creator>
  <cp:keywords/>
  <dc:description/>
  <cp:lastModifiedBy>Administrator</cp:lastModifiedBy>
  <cp:revision>30</cp:revision>
  <dcterms:created xsi:type="dcterms:W3CDTF">2025-10-13T08:22:00Z</dcterms:created>
  <dcterms:modified xsi:type="dcterms:W3CDTF">2026-05-10T10:25:00Z</dcterms:modified>
</cp:coreProperties>
</file>